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F5" w:rsidRPr="00FA4EA6" w:rsidRDefault="000A75F5" w:rsidP="00FA4EA6">
      <w:pPr>
        <w:pBdr>
          <w:bottom w:val="single" w:sz="4" w:space="1" w:color="auto"/>
        </w:pBdr>
        <w:spacing w:line="360" w:lineRule="auto"/>
        <w:jc w:val="center"/>
        <w:rPr>
          <w:rFonts w:cstheme="minorHAnsi"/>
          <w:b/>
          <w:sz w:val="24"/>
          <w:szCs w:val="24"/>
          <w:lang w:val="fr-FR"/>
        </w:rPr>
      </w:pPr>
      <w:r w:rsidRPr="00FA4EA6">
        <w:rPr>
          <w:rFonts w:cstheme="minorHAnsi"/>
          <w:b/>
          <w:sz w:val="24"/>
          <w:szCs w:val="24"/>
          <w:lang w:val="fr-FR"/>
        </w:rPr>
        <w:t>Termes de références</w:t>
      </w:r>
    </w:p>
    <w:p w:rsidR="006F5636" w:rsidRPr="00191DF8" w:rsidRDefault="006F5636" w:rsidP="00CC2552">
      <w:pPr>
        <w:spacing w:line="360" w:lineRule="auto"/>
        <w:jc w:val="center"/>
        <w:rPr>
          <w:b/>
          <w:color w:val="000000" w:themeColor="text1"/>
          <w:sz w:val="24"/>
          <w:szCs w:val="24"/>
          <w:lang w:val="fr-FR"/>
        </w:rPr>
      </w:pPr>
      <w:r w:rsidRPr="00191DF8">
        <w:rPr>
          <w:b/>
          <w:color w:val="000000" w:themeColor="text1"/>
          <w:sz w:val="24"/>
          <w:szCs w:val="24"/>
          <w:lang w:val="fr-FR"/>
        </w:rPr>
        <w:t xml:space="preserve">Enquête sur </w:t>
      </w:r>
      <w:r w:rsidR="00613F7E">
        <w:rPr>
          <w:b/>
          <w:color w:val="000000" w:themeColor="text1"/>
          <w:sz w:val="24"/>
          <w:szCs w:val="24"/>
          <w:lang w:val="fr-FR"/>
        </w:rPr>
        <w:t>l’</w:t>
      </w:r>
      <w:r w:rsidR="00603AAF" w:rsidRPr="00191DF8">
        <w:rPr>
          <w:b/>
          <w:color w:val="000000" w:themeColor="text1"/>
          <w:sz w:val="24"/>
          <w:szCs w:val="24"/>
          <w:lang w:val="fr-FR"/>
        </w:rPr>
        <w:t>utilisation des services de notification des contacts dans le cadre du VIH</w:t>
      </w:r>
    </w:p>
    <w:p w:rsidR="00742ED7" w:rsidRPr="00644532" w:rsidRDefault="000A75F5" w:rsidP="00742ED7">
      <w:pPr>
        <w:spacing w:after="0" w:line="276" w:lineRule="auto"/>
        <w:jc w:val="center"/>
        <w:rPr>
          <w:sz w:val="24"/>
          <w:szCs w:val="24"/>
          <w:lang w:val="fr-FR"/>
        </w:rPr>
      </w:pPr>
      <w:r w:rsidRPr="00191DF8">
        <w:rPr>
          <w:rFonts w:cstheme="minorHAnsi"/>
          <w:b/>
          <w:bCs/>
          <w:sz w:val="24"/>
          <w:szCs w:val="24"/>
          <w:lang w:val="fr-FR"/>
        </w:rPr>
        <w:t>Titre du poste</w:t>
      </w:r>
      <w:r w:rsidRPr="00191DF8">
        <w:rPr>
          <w:rFonts w:cstheme="minorHAnsi"/>
          <w:sz w:val="24"/>
          <w:szCs w:val="24"/>
          <w:lang w:val="fr-FR"/>
        </w:rPr>
        <w:t xml:space="preserve"> : </w:t>
      </w:r>
      <w:r w:rsidRPr="00644532">
        <w:rPr>
          <w:rFonts w:cstheme="minorHAnsi"/>
          <w:sz w:val="24"/>
          <w:szCs w:val="24"/>
          <w:lang w:val="fr-FR"/>
        </w:rPr>
        <w:t xml:space="preserve">Consultant en appui </w:t>
      </w:r>
      <w:r w:rsidR="00742ED7" w:rsidRPr="00644532">
        <w:rPr>
          <w:rFonts w:cstheme="minorHAnsi"/>
          <w:sz w:val="24"/>
          <w:szCs w:val="24"/>
          <w:lang w:val="fr-FR"/>
        </w:rPr>
        <w:t xml:space="preserve">pour la réalisation de </w:t>
      </w:r>
      <w:r w:rsidRPr="00644532">
        <w:rPr>
          <w:rFonts w:cstheme="minorHAnsi"/>
          <w:sz w:val="24"/>
          <w:szCs w:val="24"/>
          <w:lang w:val="fr-FR"/>
        </w:rPr>
        <w:t xml:space="preserve">la </w:t>
      </w:r>
      <w:r w:rsidR="00191DF8" w:rsidRPr="00644532">
        <w:rPr>
          <w:rFonts w:cstheme="minorHAnsi"/>
          <w:sz w:val="24"/>
          <w:szCs w:val="24"/>
          <w:lang w:val="fr-FR"/>
        </w:rPr>
        <w:t xml:space="preserve">partie qualitative </w:t>
      </w:r>
      <w:r w:rsidR="00742ED7" w:rsidRPr="00644532">
        <w:rPr>
          <w:rFonts w:cstheme="minorHAnsi"/>
          <w:sz w:val="24"/>
          <w:szCs w:val="24"/>
          <w:lang w:val="fr-FR"/>
        </w:rPr>
        <w:t xml:space="preserve"> de l’</w:t>
      </w:r>
      <w:r w:rsidR="00742ED7" w:rsidRPr="00644532">
        <w:rPr>
          <w:sz w:val="24"/>
          <w:szCs w:val="24"/>
          <w:lang w:val="fr-FR"/>
        </w:rPr>
        <w:t xml:space="preserve">Enquête sur </w:t>
      </w:r>
    </w:p>
    <w:p w:rsidR="00742ED7" w:rsidRPr="00644532" w:rsidRDefault="00742ED7" w:rsidP="00742ED7">
      <w:pPr>
        <w:spacing w:after="0" w:line="276" w:lineRule="auto"/>
        <w:jc w:val="center"/>
        <w:rPr>
          <w:sz w:val="24"/>
          <w:szCs w:val="24"/>
          <w:lang w:val="fr-FR"/>
        </w:rPr>
      </w:pPr>
      <w:r w:rsidRPr="00644532">
        <w:rPr>
          <w:sz w:val="24"/>
          <w:szCs w:val="24"/>
          <w:lang w:val="fr-FR"/>
        </w:rPr>
        <w:t xml:space="preserve">                  </w:t>
      </w:r>
      <w:proofErr w:type="gramStart"/>
      <w:r w:rsidRPr="00644532">
        <w:rPr>
          <w:sz w:val="24"/>
          <w:szCs w:val="24"/>
          <w:lang w:val="fr-FR"/>
        </w:rPr>
        <w:t>l’utilisation</w:t>
      </w:r>
      <w:proofErr w:type="gramEnd"/>
      <w:r w:rsidRPr="00644532">
        <w:rPr>
          <w:sz w:val="24"/>
          <w:szCs w:val="24"/>
          <w:lang w:val="fr-FR"/>
        </w:rPr>
        <w:t xml:space="preserve"> des services de notification des contacts dans le cadre du VIH. </w:t>
      </w:r>
    </w:p>
    <w:p w:rsidR="00742ED7" w:rsidRPr="00644532" w:rsidRDefault="00742ED7" w:rsidP="00742ED7">
      <w:pPr>
        <w:spacing w:after="0" w:line="276" w:lineRule="auto"/>
        <w:jc w:val="center"/>
        <w:rPr>
          <w:b/>
          <w:sz w:val="24"/>
          <w:szCs w:val="24"/>
          <w:lang w:val="fr-FR"/>
        </w:rPr>
      </w:pPr>
    </w:p>
    <w:p w:rsidR="002E13E6" w:rsidRPr="00644532" w:rsidRDefault="00191DF8" w:rsidP="00742ED7">
      <w:pPr>
        <w:pStyle w:val="ListParagraph"/>
        <w:spacing w:after="0" w:line="360" w:lineRule="auto"/>
        <w:ind w:left="0"/>
        <w:jc w:val="both"/>
        <w:rPr>
          <w:rFonts w:cstheme="minorHAnsi"/>
          <w:b/>
          <w:bCs/>
          <w:sz w:val="24"/>
          <w:szCs w:val="24"/>
          <w:lang w:val="fr-FR"/>
        </w:rPr>
      </w:pPr>
      <w:r w:rsidRPr="00644532">
        <w:rPr>
          <w:rFonts w:cstheme="minorHAnsi"/>
          <w:b/>
          <w:bCs/>
          <w:sz w:val="24"/>
          <w:szCs w:val="24"/>
          <w:lang w:val="fr-FR"/>
        </w:rPr>
        <w:t>MANDAT DE L’UCMIT</w:t>
      </w:r>
    </w:p>
    <w:p w:rsidR="006E7D63" w:rsidRPr="00644532" w:rsidRDefault="002E13E6" w:rsidP="00191DF8">
      <w:pPr>
        <w:pStyle w:val="ListParagraph"/>
        <w:spacing w:line="360" w:lineRule="auto"/>
        <w:ind w:left="0"/>
        <w:jc w:val="both"/>
        <w:rPr>
          <w:rFonts w:cstheme="minorHAnsi"/>
          <w:sz w:val="24"/>
          <w:szCs w:val="24"/>
          <w:lang w:val="fr-FR"/>
        </w:rPr>
      </w:pPr>
      <w:r w:rsidRPr="00644532">
        <w:rPr>
          <w:rFonts w:cstheme="minorHAnsi"/>
          <w:sz w:val="24"/>
          <w:szCs w:val="24"/>
          <w:lang w:val="fr-FR"/>
        </w:rPr>
        <w:t>La conception, l’élaboration de la politique nationale en matière de santé, la mise en œuvre, en liaison avec les autres secteurs socio-économiques et démographiques, de mesures d’application de cette politique et de stratégies sanitaires susceptibles de créer les conditions adéquates pour la promotion du bien-être physique, mental et social de la population haïtienne.</w:t>
      </w:r>
    </w:p>
    <w:p w:rsidR="00805D2C" w:rsidRPr="00644532" w:rsidRDefault="00A145EF" w:rsidP="00191DF8">
      <w:pPr>
        <w:pStyle w:val="ListParagraph"/>
        <w:spacing w:line="360" w:lineRule="auto"/>
        <w:ind w:left="0"/>
        <w:jc w:val="both"/>
        <w:rPr>
          <w:rFonts w:cstheme="minorHAnsi"/>
          <w:b/>
          <w:bCs/>
          <w:sz w:val="24"/>
          <w:szCs w:val="24"/>
          <w:lang w:val="fr-FR"/>
        </w:rPr>
      </w:pPr>
      <w:r w:rsidRPr="00644532">
        <w:rPr>
          <w:rFonts w:cstheme="minorHAnsi"/>
          <w:b/>
          <w:bCs/>
          <w:sz w:val="24"/>
          <w:szCs w:val="24"/>
          <w:lang w:val="fr-FR"/>
        </w:rPr>
        <w:t>Mission</w:t>
      </w:r>
      <w:r w:rsidR="00805D2C" w:rsidRPr="00644532">
        <w:rPr>
          <w:rFonts w:cstheme="minorHAnsi"/>
          <w:b/>
          <w:bCs/>
          <w:sz w:val="24"/>
          <w:szCs w:val="24"/>
          <w:lang w:val="fr-FR"/>
        </w:rPr>
        <w:t xml:space="preserve"> du MSPP</w:t>
      </w:r>
    </w:p>
    <w:p w:rsidR="002E13E6" w:rsidRPr="00644532" w:rsidRDefault="002E13E6" w:rsidP="00191DF8">
      <w:pPr>
        <w:pStyle w:val="ListParagraph"/>
        <w:spacing w:line="360" w:lineRule="auto"/>
        <w:ind w:left="0"/>
        <w:jc w:val="both"/>
        <w:rPr>
          <w:rFonts w:cstheme="minorHAnsi"/>
          <w:b/>
          <w:bCs/>
          <w:sz w:val="24"/>
          <w:szCs w:val="24"/>
          <w:lang w:val="fr-FR"/>
        </w:rPr>
      </w:pPr>
      <w:r w:rsidRPr="00644532">
        <w:rPr>
          <w:rFonts w:cstheme="minorHAnsi"/>
          <w:sz w:val="24"/>
          <w:szCs w:val="24"/>
          <w:lang w:val="fr-FR"/>
        </w:rPr>
        <w:t>Le Ministère de la Santé et de la population (MSPP) est de « garantir à tous les citoyens sans distinction le droit à la vie, a la sante et leur assurer dans toutes les collectivités territoriales les moyens appropriés pour la protection, le maintien et le rétablissement de leur santé »</w:t>
      </w:r>
    </w:p>
    <w:p w:rsidR="000A75F5" w:rsidRPr="00644532" w:rsidRDefault="000A75F5" w:rsidP="00FA4EA6">
      <w:pPr>
        <w:spacing w:line="360" w:lineRule="auto"/>
        <w:rPr>
          <w:rFonts w:cstheme="minorHAnsi"/>
          <w:b/>
          <w:bCs/>
          <w:sz w:val="24"/>
          <w:szCs w:val="24"/>
          <w:lang w:val="fr-FR"/>
        </w:rPr>
      </w:pPr>
      <w:r w:rsidRPr="00644532">
        <w:rPr>
          <w:rFonts w:cstheme="minorHAnsi"/>
          <w:b/>
          <w:bCs/>
          <w:sz w:val="24"/>
          <w:szCs w:val="24"/>
          <w:lang w:val="fr-FR"/>
        </w:rPr>
        <w:t>Mise en Contexte</w:t>
      </w:r>
    </w:p>
    <w:p w:rsidR="00A62B57" w:rsidRPr="00644532" w:rsidRDefault="00A62B57" w:rsidP="00FA4EA6">
      <w:pPr>
        <w:spacing w:line="360" w:lineRule="auto"/>
        <w:jc w:val="both"/>
        <w:rPr>
          <w:rFonts w:cstheme="minorHAnsi"/>
          <w:sz w:val="24"/>
          <w:szCs w:val="24"/>
          <w:lang w:val="fr-FR"/>
        </w:rPr>
      </w:pPr>
      <w:r w:rsidRPr="00644532">
        <w:rPr>
          <w:rFonts w:cstheme="minorHAnsi"/>
          <w:sz w:val="24"/>
          <w:szCs w:val="24"/>
          <w:lang w:val="fr-FR"/>
        </w:rPr>
        <w:t>Les services de partenaires ou la recherche des contacts, également connus sous le nom de notification des partenaires, gestion des partenaires, informations sur les partenaires ou recherche des contacts pour le VIH et les maladies sexuellement transmissibles, sont une intervention de santé publique recommandée par le</w:t>
      </w:r>
      <w:r w:rsidR="00603AAF" w:rsidRPr="00644532">
        <w:rPr>
          <w:rFonts w:cstheme="minorHAnsi"/>
          <w:sz w:val="24"/>
          <w:szCs w:val="24"/>
          <w:lang w:val="fr-FR"/>
        </w:rPr>
        <w:t>s</w:t>
      </w:r>
      <w:r w:rsidR="00C8417A" w:rsidRPr="00644532">
        <w:rPr>
          <w:rFonts w:cstheme="minorHAnsi"/>
          <w:sz w:val="24"/>
          <w:szCs w:val="24"/>
          <w:lang w:val="fr-FR"/>
        </w:rPr>
        <w:t xml:space="preserve"> </w:t>
      </w:r>
      <w:r w:rsidRPr="00644532">
        <w:rPr>
          <w:rFonts w:cstheme="minorHAnsi"/>
          <w:sz w:val="24"/>
          <w:szCs w:val="24"/>
          <w:lang w:val="fr-FR"/>
        </w:rPr>
        <w:t>CDC (</w:t>
      </w:r>
      <w:proofErr w:type="spellStart"/>
      <w:r w:rsidRPr="00644532">
        <w:rPr>
          <w:rFonts w:cstheme="minorHAnsi"/>
          <w:sz w:val="24"/>
          <w:szCs w:val="24"/>
          <w:lang w:val="fr-FR"/>
        </w:rPr>
        <w:t>Centers</w:t>
      </w:r>
      <w:proofErr w:type="spellEnd"/>
      <w:r w:rsidRPr="00644532">
        <w:rPr>
          <w:rFonts w:cstheme="minorHAnsi"/>
          <w:sz w:val="24"/>
          <w:szCs w:val="24"/>
          <w:lang w:val="fr-FR"/>
        </w:rPr>
        <w:t xml:space="preserve"> for </w:t>
      </w:r>
      <w:proofErr w:type="spellStart"/>
      <w:r w:rsidRPr="00644532">
        <w:rPr>
          <w:rFonts w:cstheme="minorHAnsi"/>
          <w:sz w:val="24"/>
          <w:szCs w:val="24"/>
          <w:lang w:val="fr-FR"/>
        </w:rPr>
        <w:t>Disease</w:t>
      </w:r>
      <w:proofErr w:type="spellEnd"/>
      <w:r w:rsidRPr="00644532">
        <w:rPr>
          <w:rFonts w:cstheme="minorHAnsi"/>
          <w:sz w:val="24"/>
          <w:szCs w:val="24"/>
          <w:lang w:val="fr-FR"/>
        </w:rPr>
        <w:t xml:space="preserve"> Control and </w:t>
      </w:r>
      <w:r w:rsidR="00C8417A" w:rsidRPr="00644532">
        <w:rPr>
          <w:rFonts w:cstheme="minorHAnsi"/>
          <w:sz w:val="24"/>
          <w:szCs w:val="24"/>
          <w:lang w:val="fr-FR"/>
        </w:rPr>
        <w:t>Prévention</w:t>
      </w:r>
      <w:r w:rsidRPr="00644532">
        <w:rPr>
          <w:rFonts w:cstheme="minorHAnsi"/>
          <w:sz w:val="24"/>
          <w:szCs w:val="24"/>
          <w:lang w:val="fr-FR"/>
        </w:rPr>
        <w:t xml:space="preserve">) et l'Organisation </w:t>
      </w:r>
      <w:r w:rsidR="00603AAF" w:rsidRPr="00644532">
        <w:rPr>
          <w:rFonts w:cstheme="minorHAnsi"/>
          <w:sz w:val="24"/>
          <w:szCs w:val="24"/>
          <w:lang w:val="fr-FR"/>
        </w:rPr>
        <w:t>M</w:t>
      </w:r>
      <w:r w:rsidRPr="00644532">
        <w:rPr>
          <w:rFonts w:cstheme="minorHAnsi"/>
          <w:sz w:val="24"/>
          <w:szCs w:val="24"/>
          <w:lang w:val="fr-FR"/>
        </w:rPr>
        <w:t xml:space="preserve">ondiale de la </w:t>
      </w:r>
      <w:r w:rsidR="00603AAF" w:rsidRPr="00644532">
        <w:rPr>
          <w:rFonts w:cstheme="minorHAnsi"/>
          <w:sz w:val="24"/>
          <w:szCs w:val="24"/>
          <w:lang w:val="fr-FR"/>
        </w:rPr>
        <w:t>S</w:t>
      </w:r>
      <w:r w:rsidRPr="00644532">
        <w:rPr>
          <w:rFonts w:cstheme="minorHAnsi"/>
          <w:sz w:val="24"/>
          <w:szCs w:val="24"/>
          <w:lang w:val="fr-FR"/>
        </w:rPr>
        <w:t>anté (OMS) (1-3). Cette activité est une approche volontaire et anonyme de santé publique visant à informer l</w:t>
      </w:r>
      <w:r w:rsidR="00C8417A" w:rsidRPr="00644532">
        <w:rPr>
          <w:rFonts w:cstheme="minorHAnsi"/>
          <w:sz w:val="24"/>
          <w:szCs w:val="24"/>
          <w:lang w:val="fr-FR"/>
        </w:rPr>
        <w:t>es partenaires d'un cas index (P</w:t>
      </w:r>
      <w:r w:rsidRPr="00644532">
        <w:rPr>
          <w:rFonts w:cstheme="minorHAnsi"/>
          <w:sz w:val="24"/>
          <w:szCs w:val="24"/>
          <w:lang w:val="fr-FR"/>
        </w:rPr>
        <w:t>ersonnes vivant</w:t>
      </w:r>
      <w:r w:rsidR="00C8417A" w:rsidRPr="00644532">
        <w:rPr>
          <w:rFonts w:cstheme="minorHAnsi"/>
          <w:sz w:val="24"/>
          <w:szCs w:val="24"/>
          <w:lang w:val="fr-FR"/>
        </w:rPr>
        <w:t>s</w:t>
      </w:r>
      <w:r w:rsidRPr="00644532">
        <w:rPr>
          <w:rFonts w:cstheme="minorHAnsi"/>
          <w:sz w:val="24"/>
          <w:szCs w:val="24"/>
          <w:lang w:val="fr-FR"/>
        </w:rPr>
        <w:t xml:space="preserve"> avec le VIH ou personne ayant reçu un diagnostic d'une autre Infection Sexuellement Transmissible (IST) qu'ils ont été exposés au VIH ou à une autre IST et à les encourager à consulter pour des services de conseil, de dépistage et, le cas échéant, de traitement (4-6). </w:t>
      </w:r>
    </w:p>
    <w:p w:rsidR="00A62B57" w:rsidRPr="00644532" w:rsidRDefault="00A62B57" w:rsidP="00FA4EA6">
      <w:pPr>
        <w:spacing w:line="360" w:lineRule="auto"/>
        <w:jc w:val="both"/>
        <w:rPr>
          <w:rFonts w:cstheme="minorHAnsi"/>
          <w:sz w:val="24"/>
          <w:szCs w:val="24"/>
          <w:lang w:val="fr-FR"/>
        </w:rPr>
      </w:pPr>
      <w:r w:rsidRPr="00644532">
        <w:rPr>
          <w:rFonts w:cstheme="minorHAnsi"/>
          <w:sz w:val="24"/>
          <w:szCs w:val="24"/>
          <w:lang w:val="fr-FR"/>
        </w:rPr>
        <w:t xml:space="preserve">Les partenaires sont des personnes avec lesquelles le cas index a partagé du matériel d'injection (aiguilles, dispositifs), a eu des comportements à risque ou a eu des relations </w:t>
      </w:r>
      <w:r w:rsidRPr="00644532">
        <w:rPr>
          <w:rFonts w:cstheme="minorHAnsi"/>
          <w:sz w:val="24"/>
          <w:szCs w:val="24"/>
          <w:lang w:val="fr-FR"/>
        </w:rPr>
        <w:lastRenderedPageBreak/>
        <w:t xml:space="preserve">sexuelles non protégées (4). Dans certains contextes, cette approche est également utilisée pour suivre les enfants exposés au VIH/sida et les contacts sociaux qui sont dans le même réseau que le cas index et qui ont des comportements sexuels à risque similaires (7). L'objectif principal de cette stratégie est d'interrompre les chaînes de transmission et de contenir la propagation des IST, y compris le VIH/sida (4,5). </w:t>
      </w:r>
    </w:p>
    <w:p w:rsidR="00A62B57" w:rsidRPr="00644532" w:rsidRDefault="00A62B57" w:rsidP="00FA4EA6">
      <w:pPr>
        <w:pStyle w:val="Heading2"/>
        <w:spacing w:before="100" w:beforeAutospacing="1" w:after="100" w:afterAutospacing="1" w:line="360" w:lineRule="auto"/>
        <w:rPr>
          <w:rFonts w:asciiTheme="minorHAnsi" w:hAnsiTheme="minorHAnsi" w:cstheme="minorHAnsi"/>
          <w:b/>
          <w:color w:val="auto"/>
          <w:sz w:val="24"/>
          <w:szCs w:val="24"/>
          <w:u w:val="single"/>
          <w:lang w:val="fr-FR"/>
        </w:rPr>
      </w:pPr>
      <w:bookmarkStart w:id="0" w:name="_Toc140614160"/>
      <w:r w:rsidRPr="00644532">
        <w:rPr>
          <w:rFonts w:asciiTheme="minorHAnsi" w:hAnsiTheme="minorHAnsi" w:cstheme="minorHAnsi"/>
          <w:b/>
          <w:color w:val="auto"/>
          <w:sz w:val="24"/>
          <w:szCs w:val="24"/>
          <w:u w:val="single"/>
          <w:lang w:val="fr-FR"/>
        </w:rPr>
        <w:t>Objectif principal</w:t>
      </w:r>
      <w:bookmarkEnd w:id="0"/>
      <w:r w:rsidR="006837FE" w:rsidRPr="00644532">
        <w:rPr>
          <w:rFonts w:asciiTheme="minorHAnsi" w:hAnsiTheme="minorHAnsi" w:cstheme="minorHAnsi"/>
          <w:b/>
          <w:color w:val="auto"/>
          <w:sz w:val="24"/>
          <w:szCs w:val="24"/>
          <w:u w:val="single"/>
          <w:lang w:val="fr-FR"/>
        </w:rPr>
        <w:t xml:space="preserve"> : </w:t>
      </w:r>
    </w:p>
    <w:p w:rsidR="00594406" w:rsidRPr="00644532" w:rsidRDefault="00A62B57" w:rsidP="00FA4EA6">
      <w:pPr>
        <w:spacing w:line="360" w:lineRule="auto"/>
        <w:jc w:val="both"/>
        <w:rPr>
          <w:rFonts w:cstheme="minorHAnsi"/>
          <w:sz w:val="24"/>
          <w:szCs w:val="24"/>
          <w:lang w:val="fr-FR"/>
        </w:rPr>
      </w:pPr>
      <w:r w:rsidRPr="00644532">
        <w:rPr>
          <w:rFonts w:cstheme="minorHAnsi"/>
          <w:sz w:val="24"/>
          <w:szCs w:val="24"/>
          <w:lang w:val="fr-FR"/>
        </w:rPr>
        <w:t>Cette étude vise à déterminer</w:t>
      </w:r>
      <w:r w:rsidR="00594406" w:rsidRPr="00644532">
        <w:rPr>
          <w:rFonts w:cstheme="minorHAnsi"/>
          <w:sz w:val="24"/>
          <w:szCs w:val="24"/>
          <w:lang w:val="fr-FR"/>
        </w:rPr>
        <w:t xml:space="preserve"> : </w:t>
      </w:r>
    </w:p>
    <w:p w:rsidR="00594406" w:rsidRPr="00644532" w:rsidRDefault="004A01D6" w:rsidP="00594406">
      <w:pPr>
        <w:pStyle w:val="ListParagraph"/>
        <w:numPr>
          <w:ilvl w:val="0"/>
          <w:numId w:val="15"/>
        </w:numPr>
        <w:spacing w:line="360" w:lineRule="auto"/>
        <w:jc w:val="both"/>
        <w:rPr>
          <w:rFonts w:cstheme="minorHAnsi"/>
          <w:sz w:val="24"/>
          <w:szCs w:val="24"/>
          <w:lang w:val="fr-FR"/>
        </w:rPr>
      </w:pPr>
      <w:r w:rsidRPr="00644532">
        <w:rPr>
          <w:rFonts w:cstheme="minorHAnsi"/>
          <w:sz w:val="24"/>
          <w:szCs w:val="24"/>
          <w:lang w:val="fr-FR"/>
        </w:rPr>
        <w:t>Le</w:t>
      </w:r>
      <w:r w:rsidR="00A62B57" w:rsidRPr="00644532">
        <w:rPr>
          <w:rFonts w:cstheme="minorHAnsi"/>
          <w:sz w:val="24"/>
          <w:szCs w:val="24"/>
          <w:lang w:val="fr-FR"/>
        </w:rPr>
        <w:t xml:space="preserve"> pourcentage de personnes vivant avec le VIH (PVVIH) qui acceptent de fournir des informations sur leurs contacts dans le cadre des services de traçage des contacts</w:t>
      </w:r>
      <w:r w:rsidR="00DB111E" w:rsidRPr="00644532">
        <w:rPr>
          <w:rFonts w:cstheme="minorHAnsi"/>
          <w:sz w:val="24"/>
          <w:szCs w:val="24"/>
          <w:lang w:val="fr-FR"/>
        </w:rPr>
        <w:t>.</w:t>
      </w:r>
    </w:p>
    <w:p w:rsidR="00594406" w:rsidRPr="00644532" w:rsidRDefault="004A01D6" w:rsidP="00594406">
      <w:pPr>
        <w:pStyle w:val="ListParagraph"/>
        <w:numPr>
          <w:ilvl w:val="0"/>
          <w:numId w:val="15"/>
        </w:numPr>
        <w:spacing w:line="360" w:lineRule="auto"/>
        <w:jc w:val="both"/>
        <w:rPr>
          <w:rFonts w:cstheme="minorHAnsi"/>
          <w:sz w:val="24"/>
          <w:szCs w:val="24"/>
          <w:lang w:val="fr-FR"/>
        </w:rPr>
      </w:pPr>
      <w:r w:rsidRPr="00644532">
        <w:rPr>
          <w:rFonts w:cstheme="minorHAnsi"/>
          <w:sz w:val="24"/>
          <w:szCs w:val="24"/>
          <w:lang w:val="fr-FR"/>
        </w:rPr>
        <w:t>La</w:t>
      </w:r>
      <w:r w:rsidR="00A62B57" w:rsidRPr="00644532">
        <w:rPr>
          <w:rFonts w:cstheme="minorHAnsi"/>
          <w:sz w:val="24"/>
          <w:szCs w:val="24"/>
          <w:lang w:val="fr-FR"/>
        </w:rPr>
        <w:t xml:space="preserve"> proportion de nouveaux cas de VIH dépistés parmi les contacts enregistrés</w:t>
      </w:r>
      <w:r w:rsidR="00DB111E" w:rsidRPr="00644532">
        <w:rPr>
          <w:rFonts w:cstheme="minorHAnsi"/>
          <w:sz w:val="24"/>
          <w:szCs w:val="24"/>
          <w:lang w:val="fr-FR"/>
        </w:rPr>
        <w:t>.</w:t>
      </w:r>
    </w:p>
    <w:p w:rsidR="005A6952" w:rsidRPr="00644532" w:rsidRDefault="004A01D6" w:rsidP="00594406">
      <w:pPr>
        <w:pStyle w:val="ListParagraph"/>
        <w:numPr>
          <w:ilvl w:val="0"/>
          <w:numId w:val="15"/>
        </w:numPr>
        <w:spacing w:line="360" w:lineRule="auto"/>
        <w:jc w:val="both"/>
        <w:rPr>
          <w:rFonts w:cstheme="minorHAnsi"/>
          <w:sz w:val="24"/>
          <w:szCs w:val="24"/>
          <w:lang w:val="fr-FR"/>
        </w:rPr>
      </w:pPr>
      <w:r w:rsidRPr="00644532">
        <w:rPr>
          <w:rFonts w:cstheme="minorHAnsi"/>
          <w:sz w:val="24"/>
          <w:szCs w:val="24"/>
          <w:lang w:val="fr-FR"/>
        </w:rPr>
        <w:t>Décrire</w:t>
      </w:r>
      <w:r w:rsidR="005A6952" w:rsidRPr="00644532">
        <w:rPr>
          <w:rFonts w:cstheme="minorHAnsi"/>
          <w:sz w:val="24"/>
          <w:szCs w:val="24"/>
          <w:lang w:val="fr-FR"/>
        </w:rPr>
        <w:t xml:space="preserve"> et analyser les </w:t>
      </w:r>
      <w:r w:rsidR="006F5636" w:rsidRPr="00644532">
        <w:rPr>
          <w:rFonts w:cstheme="minorHAnsi"/>
          <w:sz w:val="24"/>
          <w:szCs w:val="24"/>
          <w:lang w:val="fr-FR"/>
        </w:rPr>
        <w:t>facteurs associés</w:t>
      </w:r>
      <w:r w:rsidR="005A6952" w:rsidRPr="00644532">
        <w:rPr>
          <w:rFonts w:cstheme="minorHAnsi"/>
          <w:sz w:val="24"/>
          <w:szCs w:val="24"/>
          <w:lang w:val="fr-FR"/>
        </w:rPr>
        <w:t xml:space="preserve"> à l'acceptation des services de notification des partenaires en Haïti, ainsi que les obstacles spécifiques auxquels sont confrontés les prestataires de soins de santé et les patients.</w:t>
      </w:r>
    </w:p>
    <w:p w:rsidR="00A62B57" w:rsidRPr="00644532" w:rsidRDefault="00A62B57" w:rsidP="00FA4EA6">
      <w:pPr>
        <w:pStyle w:val="Heading2"/>
        <w:spacing w:before="100" w:beforeAutospacing="1" w:after="100" w:afterAutospacing="1" w:line="360" w:lineRule="auto"/>
        <w:rPr>
          <w:rFonts w:asciiTheme="minorHAnsi" w:hAnsiTheme="minorHAnsi" w:cstheme="minorHAnsi"/>
          <w:b/>
          <w:color w:val="auto"/>
          <w:sz w:val="24"/>
          <w:szCs w:val="24"/>
          <w:u w:val="single"/>
          <w:lang w:val="fr-FR"/>
        </w:rPr>
      </w:pPr>
      <w:bookmarkStart w:id="1" w:name="_Toc140614161"/>
      <w:r w:rsidRPr="00644532">
        <w:rPr>
          <w:rFonts w:asciiTheme="minorHAnsi" w:hAnsiTheme="minorHAnsi" w:cstheme="minorHAnsi"/>
          <w:b/>
          <w:color w:val="auto"/>
          <w:sz w:val="24"/>
          <w:szCs w:val="24"/>
          <w:u w:val="single"/>
          <w:lang w:val="fr-FR"/>
        </w:rPr>
        <w:t>Objectifs spécifiques</w:t>
      </w:r>
      <w:bookmarkEnd w:id="1"/>
      <w:r w:rsidR="006837FE" w:rsidRPr="00644532">
        <w:rPr>
          <w:rFonts w:asciiTheme="minorHAnsi" w:hAnsiTheme="minorHAnsi" w:cstheme="minorHAnsi"/>
          <w:b/>
          <w:color w:val="auto"/>
          <w:sz w:val="24"/>
          <w:szCs w:val="24"/>
          <w:u w:val="single"/>
          <w:lang w:val="fr-FR"/>
        </w:rPr>
        <w:t xml:space="preserve"> : </w:t>
      </w:r>
    </w:p>
    <w:p w:rsidR="000A5021" w:rsidRPr="00644532" w:rsidRDefault="00A62B57" w:rsidP="000A5021">
      <w:pPr>
        <w:spacing w:line="360" w:lineRule="auto"/>
        <w:jc w:val="both"/>
        <w:rPr>
          <w:rFonts w:cstheme="minorHAnsi"/>
          <w:sz w:val="24"/>
          <w:szCs w:val="24"/>
          <w:lang w:val="fr-FR"/>
        </w:rPr>
      </w:pPr>
      <w:r w:rsidRPr="00644532">
        <w:rPr>
          <w:rFonts w:cstheme="minorHAnsi"/>
          <w:sz w:val="24"/>
          <w:szCs w:val="24"/>
          <w:lang w:val="fr-FR"/>
        </w:rPr>
        <w:t>Déterminer le pourcentage de personnes vivant avec le VIH (PV</w:t>
      </w:r>
      <w:r w:rsidR="006837FE" w:rsidRPr="00644532">
        <w:rPr>
          <w:rFonts w:cstheme="minorHAnsi"/>
          <w:sz w:val="24"/>
          <w:szCs w:val="24"/>
          <w:lang w:val="fr-FR"/>
        </w:rPr>
        <w:t xml:space="preserve">VIH) qui ont accepté de fournir </w:t>
      </w:r>
      <w:r w:rsidRPr="00644532">
        <w:rPr>
          <w:rFonts w:cstheme="minorHAnsi"/>
          <w:sz w:val="24"/>
          <w:szCs w:val="24"/>
          <w:lang w:val="fr-FR"/>
        </w:rPr>
        <w:t>des informations sur leurs contacts dans le cadre des services de traçage des contacts en Haï</w:t>
      </w:r>
      <w:r w:rsidR="00191DF8" w:rsidRPr="00644532">
        <w:rPr>
          <w:rFonts w:cstheme="minorHAnsi"/>
          <w:sz w:val="24"/>
          <w:szCs w:val="24"/>
          <w:lang w:val="fr-FR"/>
        </w:rPr>
        <w:t>ti.</w:t>
      </w:r>
    </w:p>
    <w:p w:rsidR="00A62B57" w:rsidRPr="00644532" w:rsidRDefault="00A62B57" w:rsidP="00FA4EA6">
      <w:pPr>
        <w:pStyle w:val="ListParagraph"/>
        <w:numPr>
          <w:ilvl w:val="0"/>
          <w:numId w:val="1"/>
        </w:numPr>
        <w:spacing w:line="360" w:lineRule="auto"/>
        <w:jc w:val="both"/>
        <w:rPr>
          <w:rFonts w:cstheme="minorHAnsi"/>
          <w:sz w:val="24"/>
          <w:szCs w:val="24"/>
          <w:lang w:val="fr-FR"/>
        </w:rPr>
      </w:pPr>
      <w:r w:rsidRPr="00644532">
        <w:rPr>
          <w:rFonts w:cstheme="minorHAnsi"/>
          <w:sz w:val="24"/>
          <w:szCs w:val="24"/>
          <w:lang w:val="fr-FR"/>
        </w:rPr>
        <w:t xml:space="preserve">Déterminer le taux de séropositivité parmi les contacts testés. </w:t>
      </w:r>
    </w:p>
    <w:p w:rsidR="00A62B57" w:rsidRPr="00644532" w:rsidRDefault="00A62B57" w:rsidP="00FA4EA6">
      <w:pPr>
        <w:pStyle w:val="ListParagraph"/>
        <w:numPr>
          <w:ilvl w:val="0"/>
          <w:numId w:val="1"/>
        </w:numPr>
        <w:spacing w:line="360" w:lineRule="auto"/>
        <w:jc w:val="both"/>
        <w:rPr>
          <w:rFonts w:cstheme="minorHAnsi"/>
          <w:sz w:val="24"/>
          <w:szCs w:val="24"/>
          <w:lang w:val="fr-FR"/>
        </w:rPr>
      </w:pPr>
      <w:r w:rsidRPr="00644532">
        <w:rPr>
          <w:rFonts w:cstheme="minorHAnsi"/>
          <w:sz w:val="24"/>
          <w:szCs w:val="24"/>
          <w:lang w:val="fr-FR"/>
        </w:rPr>
        <w:t xml:space="preserve">Déterminer le profil des nouveaux cas inscrits dans les services de soins et de traitement du VIH en Haïti. </w:t>
      </w:r>
    </w:p>
    <w:p w:rsidR="00A62B57" w:rsidRPr="00644532" w:rsidRDefault="00A62B57" w:rsidP="00FA4EA6">
      <w:pPr>
        <w:pStyle w:val="ListParagraph"/>
        <w:numPr>
          <w:ilvl w:val="0"/>
          <w:numId w:val="1"/>
        </w:numPr>
        <w:spacing w:line="360" w:lineRule="auto"/>
        <w:jc w:val="both"/>
        <w:rPr>
          <w:rFonts w:cstheme="minorHAnsi"/>
          <w:sz w:val="24"/>
          <w:szCs w:val="24"/>
          <w:lang w:val="fr-FR"/>
        </w:rPr>
      </w:pPr>
      <w:r w:rsidRPr="00644532">
        <w:rPr>
          <w:rFonts w:cstheme="minorHAnsi"/>
          <w:sz w:val="24"/>
          <w:szCs w:val="24"/>
          <w:lang w:val="fr-FR"/>
        </w:rPr>
        <w:t>Déterminer les facteurs associés à l'acceptation des services de partenaires en Haïti.</w:t>
      </w:r>
    </w:p>
    <w:p w:rsidR="00A62B57" w:rsidRPr="00644532" w:rsidRDefault="00A62B57" w:rsidP="00FA4EA6">
      <w:pPr>
        <w:pStyle w:val="ListParagraph"/>
        <w:numPr>
          <w:ilvl w:val="0"/>
          <w:numId w:val="1"/>
        </w:numPr>
        <w:spacing w:line="360" w:lineRule="auto"/>
        <w:jc w:val="both"/>
        <w:rPr>
          <w:rFonts w:cstheme="minorHAnsi"/>
          <w:sz w:val="24"/>
          <w:szCs w:val="24"/>
          <w:lang w:val="fr-FR"/>
        </w:rPr>
      </w:pPr>
      <w:r w:rsidRPr="00644532">
        <w:rPr>
          <w:rFonts w:cstheme="minorHAnsi"/>
          <w:sz w:val="24"/>
          <w:szCs w:val="24"/>
          <w:lang w:val="fr-FR"/>
        </w:rPr>
        <w:t xml:space="preserve">Explorer les perceptions des patients et des prestataires de soins en ce qui concerne les services de notification des partenaires. </w:t>
      </w:r>
    </w:p>
    <w:p w:rsidR="000A75F5" w:rsidRPr="00644532" w:rsidRDefault="00A62B57" w:rsidP="00FA4EA6">
      <w:pPr>
        <w:pStyle w:val="ListParagraph"/>
        <w:numPr>
          <w:ilvl w:val="0"/>
          <w:numId w:val="1"/>
        </w:numPr>
        <w:spacing w:line="360" w:lineRule="auto"/>
        <w:jc w:val="both"/>
        <w:rPr>
          <w:rFonts w:cstheme="minorHAnsi"/>
          <w:sz w:val="24"/>
          <w:szCs w:val="24"/>
          <w:lang w:val="fr-FR"/>
        </w:rPr>
      </w:pPr>
      <w:r w:rsidRPr="00644532">
        <w:rPr>
          <w:rFonts w:cstheme="minorHAnsi"/>
          <w:sz w:val="24"/>
          <w:szCs w:val="24"/>
          <w:lang w:val="fr-FR"/>
        </w:rPr>
        <w:t>Explorer les défis et les obstacles auxquels sont confrontés les prestataires de soins ainsi que les patients.</w:t>
      </w:r>
      <w:bookmarkStart w:id="2" w:name="_Toc140614164"/>
    </w:p>
    <w:p w:rsidR="006837FE" w:rsidRPr="00644532" w:rsidRDefault="006837FE" w:rsidP="006837FE">
      <w:pPr>
        <w:pStyle w:val="ListParagraph"/>
        <w:spacing w:line="360" w:lineRule="auto"/>
        <w:jc w:val="both"/>
        <w:rPr>
          <w:rFonts w:cstheme="minorHAnsi"/>
          <w:sz w:val="24"/>
          <w:szCs w:val="24"/>
          <w:lang w:val="fr-FR"/>
        </w:rPr>
      </w:pPr>
    </w:p>
    <w:p w:rsidR="003E3B88" w:rsidRPr="00644532" w:rsidRDefault="000A75F5" w:rsidP="00FA4EA6">
      <w:pPr>
        <w:spacing w:line="360" w:lineRule="auto"/>
        <w:jc w:val="both"/>
        <w:rPr>
          <w:rFonts w:cstheme="minorHAnsi"/>
          <w:sz w:val="24"/>
          <w:szCs w:val="24"/>
          <w:lang w:val="fr-FR"/>
        </w:rPr>
      </w:pPr>
      <w:r w:rsidRPr="00644532">
        <w:rPr>
          <w:rFonts w:cstheme="minorHAnsi"/>
          <w:b/>
          <w:sz w:val="24"/>
          <w:szCs w:val="24"/>
          <w:u w:val="single"/>
          <w:lang w:val="fr-FR"/>
        </w:rPr>
        <w:lastRenderedPageBreak/>
        <w:t>Co</w:t>
      </w:r>
      <w:r w:rsidR="003E3B88" w:rsidRPr="00644532">
        <w:rPr>
          <w:rFonts w:cstheme="minorHAnsi"/>
          <w:b/>
          <w:sz w:val="24"/>
          <w:szCs w:val="24"/>
          <w:u w:val="single"/>
          <w:lang w:val="fr-FR"/>
        </w:rPr>
        <w:t>nception de l'étude</w:t>
      </w:r>
      <w:bookmarkEnd w:id="2"/>
    </w:p>
    <w:p w:rsidR="003E3B88" w:rsidRPr="00644532" w:rsidRDefault="003E3B88" w:rsidP="00FA4EA6">
      <w:pPr>
        <w:spacing w:line="360" w:lineRule="auto"/>
        <w:jc w:val="both"/>
        <w:rPr>
          <w:rFonts w:cstheme="minorHAnsi"/>
          <w:sz w:val="24"/>
          <w:szCs w:val="24"/>
          <w:lang w:val="fr-FR"/>
        </w:rPr>
      </w:pPr>
      <w:r w:rsidRPr="00644532">
        <w:rPr>
          <w:rFonts w:cstheme="minorHAnsi"/>
          <w:sz w:val="24"/>
          <w:szCs w:val="24"/>
          <w:lang w:val="fr-FR"/>
        </w:rPr>
        <w:t>Cette étude utilisera une approche méthodologique mixte séquentielle explicative avec une analyse secondaire des données disponibles dans la base de données nationale MESI</w:t>
      </w:r>
      <w:r w:rsidR="00C8417A" w:rsidRPr="00644532">
        <w:rPr>
          <w:rFonts w:cstheme="minorHAnsi"/>
          <w:sz w:val="24"/>
          <w:szCs w:val="24"/>
          <w:lang w:val="fr-FR"/>
        </w:rPr>
        <w:t xml:space="preserve"> </w:t>
      </w:r>
      <w:r w:rsidRPr="00644532">
        <w:rPr>
          <w:rFonts w:cstheme="minorHAnsi"/>
          <w:sz w:val="24"/>
          <w:szCs w:val="24"/>
          <w:lang w:val="fr-FR"/>
        </w:rPr>
        <w:t>(Monitoring Evaluation et Surveillance Intégrée) et des entretiens complémentaires pour répondre à ses objectifs.</w:t>
      </w:r>
    </w:p>
    <w:p w:rsidR="003E3B88" w:rsidRPr="00644532" w:rsidRDefault="003E3B88" w:rsidP="00FA4EA6">
      <w:pPr>
        <w:spacing w:line="360" w:lineRule="auto"/>
        <w:jc w:val="both"/>
        <w:rPr>
          <w:rFonts w:cstheme="minorHAnsi"/>
          <w:sz w:val="24"/>
          <w:szCs w:val="24"/>
          <w:lang w:val="fr-FR"/>
        </w:rPr>
      </w:pPr>
      <w:r w:rsidRPr="00644532">
        <w:rPr>
          <w:rFonts w:cstheme="minorHAnsi"/>
          <w:sz w:val="24"/>
          <w:szCs w:val="24"/>
          <w:lang w:val="fr-FR"/>
        </w:rPr>
        <w:t>L'étude qualitative sera utilisée pour l'objectif suivant :</w:t>
      </w:r>
    </w:p>
    <w:p w:rsidR="003E3B88" w:rsidRPr="00644532" w:rsidRDefault="003E3B88" w:rsidP="00FA4EA6">
      <w:pPr>
        <w:numPr>
          <w:ilvl w:val="0"/>
          <w:numId w:val="2"/>
        </w:numPr>
        <w:spacing w:line="360" w:lineRule="auto"/>
        <w:jc w:val="both"/>
        <w:rPr>
          <w:rFonts w:cstheme="minorHAnsi"/>
          <w:sz w:val="24"/>
          <w:szCs w:val="24"/>
          <w:lang w:val="fr-FR"/>
        </w:rPr>
      </w:pPr>
      <w:r w:rsidRPr="00644532">
        <w:rPr>
          <w:rFonts w:cstheme="minorHAnsi"/>
          <w:sz w:val="24"/>
          <w:szCs w:val="24"/>
          <w:lang w:val="fr-FR"/>
        </w:rPr>
        <w:t>Explorer les perceptions des patients et des prestataires de soins en ce qui concerne les services de notification des partenaires.</w:t>
      </w:r>
    </w:p>
    <w:p w:rsidR="003E3B88" w:rsidRPr="00644532" w:rsidRDefault="003E3B88" w:rsidP="00FA4EA6">
      <w:pPr>
        <w:numPr>
          <w:ilvl w:val="0"/>
          <w:numId w:val="2"/>
        </w:numPr>
        <w:spacing w:line="360" w:lineRule="auto"/>
        <w:jc w:val="both"/>
        <w:rPr>
          <w:rFonts w:cstheme="minorHAnsi"/>
          <w:sz w:val="24"/>
          <w:szCs w:val="24"/>
          <w:lang w:val="fr-FR"/>
        </w:rPr>
      </w:pPr>
      <w:r w:rsidRPr="00644532">
        <w:rPr>
          <w:rFonts w:cstheme="minorHAnsi"/>
          <w:sz w:val="24"/>
          <w:szCs w:val="24"/>
          <w:lang w:val="fr-FR"/>
        </w:rPr>
        <w:t xml:space="preserve">Explorer les défis et les obstacles auxquels sont confrontés les prestataires de soins ainsi que les patients. </w:t>
      </w:r>
    </w:p>
    <w:p w:rsidR="003E3B88" w:rsidRPr="00644532" w:rsidRDefault="00C0424C" w:rsidP="00FA4EA6">
      <w:pPr>
        <w:spacing w:line="360" w:lineRule="auto"/>
        <w:jc w:val="both"/>
        <w:rPr>
          <w:rFonts w:cstheme="minorHAnsi"/>
          <w:sz w:val="24"/>
          <w:szCs w:val="24"/>
          <w:lang w:val="fr-FR"/>
        </w:rPr>
      </w:pPr>
      <w:r w:rsidRPr="00644532">
        <w:rPr>
          <w:rFonts w:cstheme="minorHAnsi"/>
          <w:sz w:val="24"/>
          <w:szCs w:val="24"/>
          <w:lang w:val="fr-FR"/>
        </w:rPr>
        <w:t>L’étude qualitative</w:t>
      </w:r>
      <w:r w:rsidR="00C8417A" w:rsidRPr="00644532">
        <w:rPr>
          <w:rFonts w:cstheme="minorHAnsi"/>
          <w:sz w:val="24"/>
          <w:szCs w:val="24"/>
          <w:lang w:val="fr-FR"/>
        </w:rPr>
        <w:t xml:space="preserve"> </w:t>
      </w:r>
      <w:r w:rsidR="00224155" w:rsidRPr="00644532">
        <w:rPr>
          <w:rFonts w:cstheme="minorHAnsi"/>
          <w:sz w:val="24"/>
          <w:szCs w:val="24"/>
          <w:lang w:val="fr-FR"/>
        </w:rPr>
        <w:t xml:space="preserve">utilisera une approche </w:t>
      </w:r>
      <w:r w:rsidR="003E3B88" w:rsidRPr="00644532">
        <w:rPr>
          <w:rFonts w:cstheme="minorHAnsi"/>
          <w:sz w:val="24"/>
          <w:szCs w:val="24"/>
          <w:lang w:val="fr-FR"/>
        </w:rPr>
        <w:t>des entretiens semi-structurés en face-à-face</w:t>
      </w:r>
      <w:r w:rsidR="000A75F5" w:rsidRPr="00644532">
        <w:rPr>
          <w:rFonts w:cstheme="minorHAnsi"/>
          <w:sz w:val="24"/>
          <w:szCs w:val="24"/>
          <w:lang w:val="fr-FR"/>
        </w:rPr>
        <w:t xml:space="preserve"> et des focus </w:t>
      </w:r>
      <w:r w:rsidR="00974C6A" w:rsidRPr="00644532">
        <w:rPr>
          <w:rFonts w:cstheme="minorHAnsi"/>
          <w:sz w:val="24"/>
          <w:szCs w:val="24"/>
          <w:lang w:val="fr-FR"/>
        </w:rPr>
        <w:t>groupes.</w:t>
      </w:r>
    </w:p>
    <w:p w:rsidR="003E3B88" w:rsidRPr="00644532" w:rsidRDefault="003E3B88" w:rsidP="00FA4EA6">
      <w:pPr>
        <w:pStyle w:val="Heading2"/>
        <w:spacing w:before="100" w:beforeAutospacing="1" w:after="100" w:afterAutospacing="1" w:line="360" w:lineRule="auto"/>
        <w:rPr>
          <w:rFonts w:asciiTheme="minorHAnsi" w:hAnsiTheme="minorHAnsi" w:cstheme="minorHAnsi"/>
          <w:b/>
          <w:color w:val="auto"/>
          <w:sz w:val="24"/>
          <w:szCs w:val="24"/>
          <w:u w:val="single"/>
          <w:lang w:val="fr-FR"/>
        </w:rPr>
      </w:pPr>
      <w:bookmarkStart w:id="3" w:name="_Toc140614173"/>
      <w:r w:rsidRPr="00644532">
        <w:rPr>
          <w:rFonts w:asciiTheme="minorHAnsi" w:hAnsiTheme="minorHAnsi" w:cstheme="minorHAnsi"/>
          <w:b/>
          <w:color w:val="auto"/>
          <w:sz w:val="24"/>
          <w:szCs w:val="24"/>
          <w:u w:val="single"/>
          <w:lang w:val="fr-FR"/>
        </w:rPr>
        <w:t>Population</w:t>
      </w:r>
      <w:r w:rsidR="00A066CC" w:rsidRPr="00644532">
        <w:rPr>
          <w:rFonts w:asciiTheme="minorHAnsi" w:hAnsiTheme="minorHAnsi" w:cstheme="minorHAnsi"/>
          <w:b/>
          <w:color w:val="auto"/>
          <w:sz w:val="24"/>
          <w:szCs w:val="24"/>
          <w:u w:val="single"/>
          <w:lang w:val="fr-FR"/>
        </w:rPr>
        <w:t>s et échantillons</w:t>
      </w:r>
      <w:r w:rsidRPr="00644532">
        <w:rPr>
          <w:rFonts w:asciiTheme="minorHAnsi" w:hAnsiTheme="minorHAnsi" w:cstheme="minorHAnsi"/>
          <w:b/>
          <w:color w:val="auto"/>
          <w:sz w:val="24"/>
          <w:szCs w:val="24"/>
          <w:u w:val="single"/>
          <w:lang w:val="fr-FR"/>
        </w:rPr>
        <w:t xml:space="preserve"> de l'étude</w:t>
      </w:r>
      <w:bookmarkEnd w:id="3"/>
    </w:p>
    <w:p w:rsidR="003E3B88" w:rsidRPr="00644532" w:rsidRDefault="00CA2926" w:rsidP="00FA4EA6">
      <w:pPr>
        <w:spacing w:line="360" w:lineRule="auto"/>
        <w:jc w:val="both"/>
        <w:rPr>
          <w:rFonts w:cstheme="minorHAnsi"/>
          <w:sz w:val="24"/>
          <w:szCs w:val="24"/>
          <w:lang w:val="fr-FR"/>
        </w:rPr>
      </w:pPr>
      <w:r w:rsidRPr="00644532">
        <w:rPr>
          <w:rFonts w:cstheme="minorHAnsi"/>
          <w:sz w:val="24"/>
          <w:szCs w:val="24"/>
          <w:lang w:val="fr-FR"/>
        </w:rPr>
        <w:t>À</w:t>
      </w:r>
      <w:r w:rsidR="003E3B88" w:rsidRPr="00644532">
        <w:rPr>
          <w:rFonts w:cstheme="minorHAnsi"/>
          <w:sz w:val="24"/>
          <w:szCs w:val="24"/>
          <w:lang w:val="fr-FR"/>
        </w:rPr>
        <w:t xml:space="preserve"> fournir des informations sur leur perception et leur connaissance des services de notification des partenaires, ainsi que des défis auxquels ils sont confrontés des deux côtés. Seuls les participants adultes seront sélectionnés. </w:t>
      </w:r>
    </w:p>
    <w:p w:rsidR="000651B7" w:rsidRPr="00644532" w:rsidRDefault="000651B7" w:rsidP="00FA4EA6">
      <w:pPr>
        <w:spacing w:line="360" w:lineRule="auto"/>
        <w:jc w:val="both"/>
        <w:rPr>
          <w:rFonts w:cstheme="minorHAnsi"/>
          <w:sz w:val="24"/>
          <w:szCs w:val="24"/>
          <w:lang w:val="fr-FR"/>
        </w:rPr>
      </w:pPr>
      <w:r w:rsidRPr="00644532">
        <w:rPr>
          <w:rFonts w:cstheme="minorHAnsi"/>
          <w:sz w:val="24"/>
          <w:szCs w:val="24"/>
          <w:lang w:val="fr-FR"/>
        </w:rPr>
        <w:t>L’étude qualitative portera sur les établissements de santé qui font du rapportage de données sur MESI</w:t>
      </w:r>
      <w:r w:rsidR="00C943E9" w:rsidRPr="00644532">
        <w:rPr>
          <w:rFonts w:cstheme="minorHAnsi"/>
          <w:sz w:val="24"/>
          <w:szCs w:val="24"/>
          <w:lang w:val="fr-FR"/>
        </w:rPr>
        <w:t>/plateforme PCPI</w:t>
      </w:r>
      <w:r w:rsidRPr="00644532">
        <w:rPr>
          <w:rFonts w:cstheme="minorHAnsi"/>
          <w:sz w:val="24"/>
          <w:szCs w:val="24"/>
          <w:lang w:val="fr-FR"/>
        </w:rPr>
        <w:t xml:space="preserve">. Deux groupes de population seront considérés au sein des établissements retenus : les prestataires de soins offrant le service de recherche des contacts et les patients qui en bénéficient. </w:t>
      </w:r>
    </w:p>
    <w:p w:rsidR="000651B7" w:rsidRPr="00644532" w:rsidRDefault="000651B7" w:rsidP="00FA4EA6">
      <w:pPr>
        <w:spacing w:line="360" w:lineRule="auto"/>
        <w:jc w:val="both"/>
        <w:rPr>
          <w:rFonts w:cstheme="minorHAnsi"/>
          <w:sz w:val="24"/>
          <w:szCs w:val="24"/>
          <w:lang w:val="fr-FR"/>
        </w:rPr>
      </w:pPr>
      <w:r w:rsidRPr="00644532">
        <w:rPr>
          <w:rFonts w:cstheme="minorHAnsi"/>
          <w:sz w:val="24"/>
          <w:szCs w:val="24"/>
          <w:lang w:val="fr-FR"/>
        </w:rPr>
        <w:t xml:space="preserve">Pour le premier groupe de population, l’échantillon sera de type non probabiliste </w:t>
      </w:r>
      <w:r w:rsidR="002F27A2" w:rsidRPr="00644532">
        <w:rPr>
          <w:rFonts w:cstheme="minorHAnsi"/>
          <w:sz w:val="24"/>
          <w:szCs w:val="24"/>
          <w:lang w:val="fr-FR"/>
        </w:rPr>
        <w:t>d’experts ;</w:t>
      </w:r>
      <w:r w:rsidRPr="00644532">
        <w:rPr>
          <w:rFonts w:cstheme="minorHAnsi"/>
          <w:sz w:val="24"/>
          <w:szCs w:val="24"/>
          <w:lang w:val="fr-FR"/>
        </w:rPr>
        <w:t xml:space="preserve"> car les prestataires de soins seront considérés en fonction de leur capacité à fournir</w:t>
      </w:r>
      <w:r w:rsidR="00211CDD" w:rsidRPr="00644532">
        <w:rPr>
          <w:rFonts w:cstheme="minorHAnsi"/>
          <w:sz w:val="24"/>
          <w:szCs w:val="24"/>
          <w:lang w:val="fr-FR"/>
        </w:rPr>
        <w:t xml:space="preserve"> les </w:t>
      </w:r>
      <w:r w:rsidR="00E64543" w:rsidRPr="00644532">
        <w:rPr>
          <w:rFonts w:cstheme="minorHAnsi"/>
          <w:sz w:val="24"/>
          <w:szCs w:val="24"/>
          <w:lang w:val="fr-FR"/>
        </w:rPr>
        <w:t>services</w:t>
      </w:r>
      <w:r w:rsidR="00211CDD" w:rsidRPr="00644532">
        <w:rPr>
          <w:rFonts w:cstheme="minorHAnsi"/>
          <w:sz w:val="24"/>
          <w:szCs w:val="24"/>
          <w:lang w:val="fr-FR"/>
        </w:rPr>
        <w:t xml:space="preserve"> de prise en charge des contacts</w:t>
      </w:r>
      <w:r w:rsidR="00FE269C" w:rsidRPr="00644532">
        <w:rPr>
          <w:rFonts w:cstheme="minorHAnsi"/>
          <w:sz w:val="24"/>
          <w:szCs w:val="24"/>
          <w:lang w:val="fr-FR"/>
        </w:rPr>
        <w:t xml:space="preserve"> (PCPI) et</w:t>
      </w:r>
      <w:r w:rsidR="00C8417A" w:rsidRPr="00644532">
        <w:rPr>
          <w:rFonts w:cstheme="minorHAnsi"/>
          <w:sz w:val="24"/>
          <w:szCs w:val="24"/>
          <w:lang w:val="fr-FR"/>
        </w:rPr>
        <w:t xml:space="preserve"> </w:t>
      </w:r>
      <w:r w:rsidR="00197F97" w:rsidRPr="00644532">
        <w:rPr>
          <w:rFonts w:cstheme="minorHAnsi"/>
          <w:sz w:val="24"/>
          <w:szCs w:val="24"/>
          <w:lang w:val="fr-FR"/>
        </w:rPr>
        <w:t>à</w:t>
      </w:r>
      <w:r w:rsidR="00A91CA6" w:rsidRPr="00644532">
        <w:rPr>
          <w:rFonts w:cstheme="minorHAnsi"/>
          <w:sz w:val="24"/>
          <w:szCs w:val="24"/>
          <w:lang w:val="fr-FR"/>
        </w:rPr>
        <w:t xml:space="preserve"> intéresser</w:t>
      </w:r>
      <w:r w:rsidR="00211CDD" w:rsidRPr="00644532">
        <w:rPr>
          <w:rFonts w:cstheme="minorHAnsi"/>
          <w:sz w:val="24"/>
          <w:szCs w:val="24"/>
          <w:lang w:val="fr-FR"/>
        </w:rPr>
        <w:t xml:space="preserve"> </w:t>
      </w:r>
      <w:r w:rsidR="00331435" w:rsidRPr="00644532">
        <w:rPr>
          <w:rFonts w:cstheme="minorHAnsi"/>
          <w:sz w:val="24"/>
          <w:szCs w:val="24"/>
          <w:lang w:val="fr-FR"/>
        </w:rPr>
        <w:t>les</w:t>
      </w:r>
      <w:r w:rsidR="00211CDD" w:rsidRPr="00644532">
        <w:rPr>
          <w:rFonts w:cstheme="minorHAnsi"/>
          <w:sz w:val="24"/>
          <w:szCs w:val="24"/>
          <w:lang w:val="fr-FR"/>
        </w:rPr>
        <w:t xml:space="preserve"> patients </w:t>
      </w:r>
      <w:r w:rsidR="00FE269C" w:rsidRPr="00644532">
        <w:rPr>
          <w:rFonts w:cstheme="minorHAnsi"/>
          <w:sz w:val="24"/>
          <w:szCs w:val="24"/>
          <w:lang w:val="fr-FR"/>
        </w:rPr>
        <w:t>à</w:t>
      </w:r>
      <w:r w:rsidR="00C8417A" w:rsidRPr="00644532">
        <w:rPr>
          <w:rFonts w:cstheme="minorHAnsi"/>
          <w:sz w:val="24"/>
          <w:szCs w:val="24"/>
          <w:lang w:val="fr-FR"/>
        </w:rPr>
        <w:t xml:space="preserve"> </w:t>
      </w:r>
      <w:r w:rsidR="00E64543" w:rsidRPr="00644532">
        <w:rPr>
          <w:rFonts w:cstheme="minorHAnsi"/>
          <w:sz w:val="24"/>
          <w:szCs w:val="24"/>
          <w:lang w:val="fr-FR"/>
        </w:rPr>
        <w:t>accept</w:t>
      </w:r>
      <w:r w:rsidR="00197F97" w:rsidRPr="00644532">
        <w:rPr>
          <w:rFonts w:cstheme="minorHAnsi"/>
          <w:sz w:val="24"/>
          <w:szCs w:val="24"/>
          <w:lang w:val="fr-FR"/>
        </w:rPr>
        <w:t>er</w:t>
      </w:r>
      <w:r w:rsidR="00A91CA6" w:rsidRPr="00644532">
        <w:rPr>
          <w:rFonts w:cstheme="minorHAnsi"/>
          <w:sz w:val="24"/>
          <w:szCs w:val="24"/>
          <w:lang w:val="fr-FR"/>
        </w:rPr>
        <w:t xml:space="preserve"> </w:t>
      </w:r>
      <w:r w:rsidR="00FE269C" w:rsidRPr="00644532">
        <w:rPr>
          <w:rFonts w:cstheme="minorHAnsi"/>
          <w:sz w:val="24"/>
          <w:szCs w:val="24"/>
          <w:lang w:val="fr-FR"/>
        </w:rPr>
        <w:t xml:space="preserve">les </w:t>
      </w:r>
      <w:r w:rsidR="00FA4EA6" w:rsidRPr="00644532">
        <w:rPr>
          <w:rFonts w:cstheme="minorHAnsi"/>
          <w:sz w:val="24"/>
          <w:szCs w:val="24"/>
          <w:lang w:val="fr-FR"/>
        </w:rPr>
        <w:t>services de</w:t>
      </w:r>
      <w:r w:rsidR="00FE269C" w:rsidRPr="00644532">
        <w:rPr>
          <w:rFonts w:cstheme="minorHAnsi"/>
          <w:sz w:val="24"/>
          <w:szCs w:val="24"/>
          <w:lang w:val="fr-FR"/>
        </w:rPr>
        <w:t xml:space="preserve"> PCPI </w:t>
      </w:r>
      <w:r w:rsidR="00197F97" w:rsidRPr="00644532">
        <w:rPr>
          <w:rFonts w:cstheme="minorHAnsi"/>
          <w:sz w:val="24"/>
          <w:szCs w:val="24"/>
          <w:lang w:val="fr-FR"/>
        </w:rPr>
        <w:t>et à fournir les contacts.</w:t>
      </w:r>
    </w:p>
    <w:p w:rsidR="00331435" w:rsidRPr="00644532" w:rsidRDefault="000651B7" w:rsidP="00FA4EA6">
      <w:pPr>
        <w:spacing w:line="360" w:lineRule="auto"/>
        <w:jc w:val="both"/>
        <w:rPr>
          <w:rFonts w:cstheme="minorHAnsi"/>
          <w:sz w:val="24"/>
          <w:szCs w:val="24"/>
          <w:lang w:val="fr-FR"/>
        </w:rPr>
      </w:pPr>
      <w:r w:rsidRPr="00644532">
        <w:rPr>
          <w:rFonts w:cstheme="minorHAnsi"/>
          <w:sz w:val="24"/>
          <w:szCs w:val="24"/>
          <w:lang w:val="fr-FR"/>
        </w:rPr>
        <w:lastRenderedPageBreak/>
        <w:t xml:space="preserve">Tandis que pour le deuxième groupe de population, l’échantillon sera de type non probabiliste raisonné en fonction du nombre d’années accumulés </w:t>
      </w:r>
      <w:r w:rsidR="00197F97" w:rsidRPr="00644532">
        <w:rPr>
          <w:rFonts w:cstheme="minorHAnsi"/>
          <w:sz w:val="24"/>
          <w:szCs w:val="24"/>
          <w:lang w:val="fr-FR"/>
        </w:rPr>
        <w:t>enrôlés</w:t>
      </w:r>
      <w:r w:rsidR="00FD214A" w:rsidRPr="00644532">
        <w:rPr>
          <w:rFonts w:cstheme="minorHAnsi"/>
          <w:sz w:val="24"/>
          <w:szCs w:val="24"/>
          <w:lang w:val="fr-FR"/>
        </w:rPr>
        <w:t xml:space="preserve"> sur ARV</w:t>
      </w:r>
      <w:r w:rsidRPr="00644532">
        <w:rPr>
          <w:rFonts w:cstheme="minorHAnsi"/>
          <w:sz w:val="24"/>
          <w:szCs w:val="24"/>
          <w:lang w:val="fr-FR"/>
        </w:rPr>
        <w:t>, de leur connaissance du service</w:t>
      </w:r>
      <w:r w:rsidR="00FD214A" w:rsidRPr="00644532">
        <w:rPr>
          <w:rFonts w:cstheme="minorHAnsi"/>
          <w:sz w:val="24"/>
          <w:szCs w:val="24"/>
          <w:lang w:val="fr-FR"/>
        </w:rPr>
        <w:t xml:space="preserve">, et de </w:t>
      </w:r>
      <w:r w:rsidR="00FE269C" w:rsidRPr="00644532">
        <w:rPr>
          <w:rFonts w:cstheme="minorHAnsi"/>
          <w:sz w:val="24"/>
          <w:szCs w:val="24"/>
          <w:lang w:val="fr-FR"/>
        </w:rPr>
        <w:t>leurs critères</w:t>
      </w:r>
      <w:r w:rsidR="00FD214A" w:rsidRPr="00644532">
        <w:rPr>
          <w:rFonts w:cstheme="minorHAnsi"/>
          <w:sz w:val="24"/>
          <w:szCs w:val="24"/>
          <w:lang w:val="fr-FR"/>
        </w:rPr>
        <w:t xml:space="preserve"> d’</w:t>
      </w:r>
      <w:r w:rsidR="00197F97" w:rsidRPr="00644532">
        <w:rPr>
          <w:rFonts w:cstheme="minorHAnsi"/>
          <w:sz w:val="24"/>
          <w:szCs w:val="24"/>
          <w:lang w:val="fr-FR"/>
        </w:rPr>
        <w:t>éligibilité</w:t>
      </w:r>
      <w:r w:rsidR="00191DF8" w:rsidRPr="00644532">
        <w:rPr>
          <w:rFonts w:cstheme="minorHAnsi"/>
          <w:sz w:val="24"/>
          <w:szCs w:val="24"/>
          <w:lang w:val="fr-FR"/>
        </w:rPr>
        <w:t>.</w:t>
      </w:r>
    </w:p>
    <w:p w:rsidR="00135473" w:rsidRPr="00644532" w:rsidRDefault="001A0F83" w:rsidP="00FA4EA6">
      <w:pPr>
        <w:spacing w:before="100" w:beforeAutospacing="1" w:after="100" w:afterAutospacing="1" w:line="360" w:lineRule="auto"/>
        <w:rPr>
          <w:rFonts w:eastAsia="Times New Roman" w:cstheme="minorHAnsi"/>
          <w:b/>
          <w:bCs/>
          <w:sz w:val="24"/>
          <w:szCs w:val="24"/>
          <w:u w:val="single"/>
          <w:lang w:val="fr-FR"/>
        </w:rPr>
      </w:pPr>
      <w:r w:rsidRPr="00644532">
        <w:rPr>
          <w:rFonts w:eastAsia="Times New Roman" w:cstheme="minorHAnsi"/>
          <w:b/>
          <w:bCs/>
          <w:sz w:val="24"/>
          <w:szCs w:val="24"/>
          <w:u w:val="single"/>
          <w:lang w:val="fr-FR"/>
        </w:rPr>
        <w:t>Profil du consultant</w:t>
      </w:r>
    </w:p>
    <w:p w:rsidR="00BF10B6" w:rsidRPr="00644532" w:rsidRDefault="00BF10B6" w:rsidP="00FA4EA6">
      <w:pPr>
        <w:spacing w:before="100" w:beforeAutospacing="1" w:after="100" w:afterAutospacing="1" w:line="360" w:lineRule="auto"/>
        <w:jc w:val="both"/>
        <w:rPr>
          <w:rFonts w:eastAsia="Times New Roman" w:cstheme="minorHAnsi"/>
          <w:bCs/>
          <w:sz w:val="24"/>
          <w:szCs w:val="24"/>
          <w:lang w:val="fr-FR"/>
        </w:rPr>
      </w:pPr>
      <w:r w:rsidRPr="00644532">
        <w:rPr>
          <w:rFonts w:eastAsia="Times New Roman" w:cstheme="minorHAnsi"/>
          <w:bCs/>
          <w:sz w:val="24"/>
          <w:szCs w:val="24"/>
          <w:lang w:val="fr-FR"/>
        </w:rPr>
        <w:t xml:space="preserve">Nous recherchons un chercheur qualitatif expérimenté pour diriger une étude sur le rôle des services aux partenaires et du traçage des contacts en tant qu'approche innovante pour combattre </w:t>
      </w:r>
      <w:r w:rsidR="00F318CE" w:rsidRPr="00644532">
        <w:rPr>
          <w:rFonts w:eastAsia="Times New Roman" w:cstheme="minorHAnsi"/>
          <w:bCs/>
          <w:sz w:val="24"/>
          <w:szCs w:val="24"/>
          <w:lang w:val="fr-FR"/>
        </w:rPr>
        <w:t>l’épidémie de</w:t>
      </w:r>
      <w:r w:rsidRPr="00644532">
        <w:rPr>
          <w:rFonts w:eastAsia="Times New Roman" w:cstheme="minorHAnsi"/>
          <w:bCs/>
          <w:sz w:val="24"/>
          <w:szCs w:val="24"/>
          <w:lang w:val="fr-FR"/>
        </w:rPr>
        <w:t xml:space="preserve"> VIH en Haïti. Le candidat doit avoir une solide expérience en recherche de la santé, ainsi qu'une expertise en méthodes qualitatives et engagement communautaire.</w:t>
      </w:r>
    </w:p>
    <w:p w:rsidR="00D64CE2" w:rsidRPr="00644532" w:rsidRDefault="00C8417A" w:rsidP="00FA4EA6">
      <w:pPr>
        <w:spacing w:before="100" w:beforeAutospacing="1" w:after="100" w:afterAutospacing="1" w:line="360" w:lineRule="auto"/>
        <w:rPr>
          <w:rFonts w:eastAsia="Times New Roman" w:cstheme="minorHAnsi"/>
          <w:b/>
          <w:bCs/>
          <w:sz w:val="24"/>
          <w:szCs w:val="24"/>
          <w:u w:val="single"/>
          <w:lang w:val="en-GB"/>
        </w:rPr>
      </w:pPr>
      <w:proofErr w:type="spellStart"/>
      <w:r w:rsidRPr="00644532">
        <w:rPr>
          <w:rFonts w:eastAsia="Times New Roman" w:cstheme="minorHAnsi"/>
          <w:b/>
          <w:bCs/>
          <w:sz w:val="24"/>
          <w:szCs w:val="24"/>
          <w:u w:val="single"/>
          <w:lang w:val="en-GB"/>
        </w:rPr>
        <w:t>Compé</w:t>
      </w:r>
      <w:r w:rsidR="00CA2926" w:rsidRPr="00644532">
        <w:rPr>
          <w:rFonts w:eastAsia="Times New Roman" w:cstheme="minorHAnsi"/>
          <w:b/>
          <w:bCs/>
          <w:sz w:val="24"/>
          <w:szCs w:val="24"/>
          <w:u w:val="single"/>
          <w:lang w:val="en-GB"/>
        </w:rPr>
        <w:t>tences</w:t>
      </w:r>
      <w:proofErr w:type="spellEnd"/>
      <w:r w:rsidRPr="00644532">
        <w:rPr>
          <w:rFonts w:eastAsia="Times New Roman" w:cstheme="minorHAnsi"/>
          <w:b/>
          <w:bCs/>
          <w:sz w:val="24"/>
          <w:szCs w:val="24"/>
          <w:u w:val="single"/>
          <w:lang w:val="en-GB"/>
        </w:rPr>
        <w:t xml:space="preserve"> </w:t>
      </w:r>
      <w:proofErr w:type="spellStart"/>
      <w:r w:rsidR="00FE269C" w:rsidRPr="00644532">
        <w:rPr>
          <w:rFonts w:eastAsia="Times New Roman" w:cstheme="minorHAnsi"/>
          <w:b/>
          <w:bCs/>
          <w:sz w:val="24"/>
          <w:szCs w:val="24"/>
          <w:u w:val="single"/>
          <w:lang w:val="en-GB"/>
        </w:rPr>
        <w:t>Requises</w:t>
      </w:r>
      <w:proofErr w:type="spellEnd"/>
      <w:r w:rsidR="00FE269C" w:rsidRPr="00644532">
        <w:rPr>
          <w:rFonts w:eastAsia="Times New Roman" w:cstheme="minorHAnsi"/>
          <w:b/>
          <w:bCs/>
          <w:sz w:val="24"/>
          <w:szCs w:val="24"/>
          <w:u w:val="single"/>
          <w:lang w:val="en-GB"/>
        </w:rPr>
        <w:t>:</w:t>
      </w:r>
    </w:p>
    <w:p w:rsidR="00D64CE2" w:rsidRPr="00644532" w:rsidRDefault="00D64CE2" w:rsidP="00FA4EA6">
      <w:pPr>
        <w:numPr>
          <w:ilvl w:val="0"/>
          <w:numId w:val="8"/>
        </w:numPr>
        <w:spacing w:before="100" w:beforeAutospacing="1" w:after="100" w:afterAutospacing="1" w:line="360" w:lineRule="auto"/>
        <w:rPr>
          <w:rFonts w:eastAsia="Times New Roman" w:cstheme="minorHAnsi"/>
          <w:b/>
          <w:bCs/>
          <w:sz w:val="24"/>
          <w:szCs w:val="24"/>
          <w:lang w:val="en-GB"/>
        </w:rPr>
      </w:pPr>
      <w:r w:rsidRPr="00644532">
        <w:rPr>
          <w:rFonts w:eastAsia="Times New Roman" w:cstheme="minorHAnsi"/>
          <w:b/>
          <w:bCs/>
          <w:sz w:val="24"/>
          <w:szCs w:val="24"/>
          <w:lang w:val="en-GB"/>
        </w:rPr>
        <w:t xml:space="preserve">Formation </w:t>
      </w:r>
    </w:p>
    <w:p w:rsidR="00D64CE2" w:rsidRPr="00644532" w:rsidRDefault="00D64CE2" w:rsidP="00FA4EA6">
      <w:pPr>
        <w:spacing w:before="100" w:beforeAutospacing="1" w:after="100" w:afterAutospacing="1" w:line="360" w:lineRule="auto"/>
        <w:jc w:val="both"/>
        <w:rPr>
          <w:rFonts w:eastAsia="Times New Roman" w:cstheme="minorHAnsi"/>
          <w:bCs/>
          <w:sz w:val="24"/>
          <w:szCs w:val="24"/>
          <w:lang w:val="fr-FR"/>
        </w:rPr>
      </w:pPr>
      <w:r w:rsidRPr="00644532">
        <w:rPr>
          <w:rFonts w:eastAsia="Times New Roman" w:cstheme="minorHAnsi"/>
          <w:bCs/>
          <w:sz w:val="24"/>
          <w:szCs w:val="24"/>
          <w:lang w:val="fr-FR"/>
        </w:rPr>
        <w:t>Diplôme avancé (Master ou Doctorat) en Sciences Sociales, Psychologi</w:t>
      </w:r>
      <w:r w:rsidR="00A91CA6" w:rsidRPr="00644532">
        <w:rPr>
          <w:rFonts w:eastAsia="Times New Roman" w:cstheme="minorHAnsi"/>
          <w:bCs/>
          <w:sz w:val="24"/>
          <w:szCs w:val="24"/>
          <w:lang w:val="fr-FR"/>
        </w:rPr>
        <w:t>e, Santé Publique</w:t>
      </w:r>
      <w:r w:rsidRPr="00644532">
        <w:rPr>
          <w:rFonts w:eastAsia="Times New Roman" w:cstheme="minorHAnsi"/>
          <w:bCs/>
          <w:sz w:val="24"/>
          <w:szCs w:val="24"/>
          <w:lang w:val="fr-FR"/>
        </w:rPr>
        <w:t xml:space="preserve"> ou dans un domaine connexe avec une spécialisation en méthodes de recherche qualitative.</w:t>
      </w:r>
    </w:p>
    <w:p w:rsidR="00D64CE2" w:rsidRPr="00644532" w:rsidRDefault="00D64CE2" w:rsidP="00FA4EA6">
      <w:pPr>
        <w:numPr>
          <w:ilvl w:val="0"/>
          <w:numId w:val="8"/>
        </w:numPr>
        <w:spacing w:before="100" w:beforeAutospacing="1" w:after="100" w:afterAutospacing="1" w:line="360" w:lineRule="auto"/>
        <w:rPr>
          <w:rFonts w:eastAsia="Times New Roman" w:cstheme="minorHAnsi"/>
          <w:bCs/>
          <w:sz w:val="24"/>
          <w:szCs w:val="24"/>
          <w:lang w:val="en-GB"/>
        </w:rPr>
      </w:pPr>
      <w:proofErr w:type="spellStart"/>
      <w:r w:rsidRPr="00644532">
        <w:rPr>
          <w:rFonts w:eastAsia="Times New Roman" w:cstheme="minorHAnsi"/>
          <w:b/>
          <w:bCs/>
          <w:sz w:val="24"/>
          <w:szCs w:val="24"/>
          <w:lang w:val="en-GB"/>
        </w:rPr>
        <w:t>Expérience</w:t>
      </w:r>
      <w:proofErr w:type="spellEnd"/>
      <w:r w:rsidR="00C8417A" w:rsidRPr="00644532">
        <w:rPr>
          <w:rFonts w:eastAsia="Times New Roman" w:cstheme="minorHAnsi"/>
          <w:b/>
          <w:bCs/>
          <w:sz w:val="24"/>
          <w:szCs w:val="24"/>
          <w:lang w:val="en-GB"/>
        </w:rPr>
        <w:t xml:space="preserve"> </w:t>
      </w:r>
      <w:proofErr w:type="spellStart"/>
      <w:r w:rsidRPr="00644532">
        <w:rPr>
          <w:rFonts w:eastAsia="Times New Roman" w:cstheme="minorHAnsi"/>
          <w:b/>
          <w:bCs/>
          <w:sz w:val="24"/>
          <w:szCs w:val="24"/>
          <w:lang w:val="en-GB"/>
        </w:rPr>
        <w:t>Professionnelle</w:t>
      </w:r>
      <w:proofErr w:type="spellEnd"/>
    </w:p>
    <w:p w:rsidR="00D64CE2" w:rsidRPr="00644532" w:rsidRDefault="00D64CE2" w:rsidP="00FA4EA6">
      <w:pPr>
        <w:pStyle w:val="ListParagraph"/>
        <w:numPr>
          <w:ilvl w:val="0"/>
          <w:numId w:val="11"/>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Minimum de 2 ans d'expérience en conduite et gestion de projets de recherche qualitative, particulièrement dans les domaines de la santé publique et Sciences Sociales</w:t>
      </w:r>
    </w:p>
    <w:p w:rsidR="00D64CE2" w:rsidRPr="00644532" w:rsidRDefault="00D64CE2" w:rsidP="00FA4EA6">
      <w:pPr>
        <w:pStyle w:val="ListParagraph"/>
        <w:numPr>
          <w:ilvl w:val="0"/>
          <w:numId w:val="11"/>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Maîtrise des méthodologies de recherche qualitative, y compris les entretiens approfondis, les discussions de groupe, l'observation participante, et l'analyse thématique.</w:t>
      </w:r>
    </w:p>
    <w:p w:rsidR="00D64CE2" w:rsidRPr="00644532" w:rsidRDefault="00D64CE2" w:rsidP="00FA4EA6">
      <w:pPr>
        <w:pStyle w:val="ListParagraph"/>
        <w:numPr>
          <w:ilvl w:val="0"/>
          <w:numId w:val="11"/>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Expertise démontrée dans la recherche sur le VIH/SIDA, les services aux partenaires et les méthodes de traçage des contacts.</w:t>
      </w:r>
    </w:p>
    <w:p w:rsidR="00D64CE2" w:rsidRPr="00644532" w:rsidRDefault="00D64CE2" w:rsidP="00FA4EA6">
      <w:pPr>
        <w:pStyle w:val="ListParagraph"/>
        <w:numPr>
          <w:ilvl w:val="0"/>
          <w:numId w:val="11"/>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Capacité à mener des travaux de terrain dans le respect des coutumes locales et des normes éthiques.</w:t>
      </w:r>
    </w:p>
    <w:p w:rsidR="00D64CE2" w:rsidRPr="00644532" w:rsidRDefault="00D64CE2" w:rsidP="00FA4EA6">
      <w:pPr>
        <w:pStyle w:val="ListParagraph"/>
        <w:numPr>
          <w:ilvl w:val="0"/>
          <w:numId w:val="11"/>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Solides compétences analytiques pour synthétiser les résultats et fournir des recommandations applicables aux stratégies de prévention du VIH.</w:t>
      </w:r>
    </w:p>
    <w:p w:rsidR="00D64CE2" w:rsidRPr="00644532" w:rsidRDefault="00D64CE2" w:rsidP="00FA4EA6">
      <w:pPr>
        <w:pStyle w:val="ListParagraph"/>
        <w:numPr>
          <w:ilvl w:val="0"/>
          <w:numId w:val="11"/>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lastRenderedPageBreak/>
        <w:t xml:space="preserve">Connaissance des logiciels d'analyse de données tels que </w:t>
      </w:r>
      <w:proofErr w:type="spellStart"/>
      <w:r w:rsidRPr="00644532">
        <w:rPr>
          <w:rFonts w:eastAsia="Times New Roman" w:cstheme="minorHAnsi"/>
          <w:bCs/>
          <w:sz w:val="24"/>
          <w:szCs w:val="24"/>
          <w:lang w:val="fr-FR"/>
        </w:rPr>
        <w:t>NVivo</w:t>
      </w:r>
      <w:proofErr w:type="spellEnd"/>
      <w:r w:rsidRPr="00644532">
        <w:rPr>
          <w:rFonts w:eastAsia="Times New Roman" w:cstheme="minorHAnsi"/>
          <w:bCs/>
          <w:sz w:val="24"/>
          <w:szCs w:val="24"/>
          <w:lang w:val="fr-FR"/>
        </w:rPr>
        <w:t xml:space="preserve">, </w:t>
      </w:r>
      <w:proofErr w:type="spellStart"/>
      <w:r w:rsidRPr="00644532">
        <w:rPr>
          <w:rFonts w:eastAsia="Times New Roman" w:cstheme="minorHAnsi"/>
          <w:bCs/>
          <w:sz w:val="24"/>
          <w:szCs w:val="24"/>
          <w:lang w:val="fr-FR"/>
        </w:rPr>
        <w:t>ATLAS.ti</w:t>
      </w:r>
      <w:proofErr w:type="spellEnd"/>
      <w:r w:rsidRPr="00644532">
        <w:rPr>
          <w:rFonts w:eastAsia="Times New Roman" w:cstheme="minorHAnsi"/>
          <w:bCs/>
          <w:sz w:val="24"/>
          <w:szCs w:val="24"/>
          <w:lang w:val="fr-FR"/>
        </w:rPr>
        <w:t>, ou autres outils de gestion de données qualitatives.</w:t>
      </w:r>
    </w:p>
    <w:p w:rsidR="00E61414" w:rsidRPr="00644532" w:rsidRDefault="00D64CE2" w:rsidP="00FA4EA6">
      <w:pPr>
        <w:pStyle w:val="ListParagraph"/>
        <w:numPr>
          <w:ilvl w:val="0"/>
          <w:numId w:val="11"/>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Excellentes compétences organisationnelles, avec la capacité de respecter les</w:t>
      </w:r>
      <w:r w:rsidR="00C8417A" w:rsidRPr="00644532">
        <w:rPr>
          <w:rFonts w:eastAsia="Times New Roman" w:cstheme="minorHAnsi"/>
          <w:bCs/>
          <w:sz w:val="24"/>
          <w:szCs w:val="24"/>
          <w:lang w:val="fr-FR"/>
        </w:rPr>
        <w:t xml:space="preserve"> </w:t>
      </w:r>
      <w:r w:rsidRPr="00644532">
        <w:rPr>
          <w:rFonts w:eastAsia="Times New Roman" w:cstheme="minorHAnsi"/>
          <w:bCs/>
          <w:sz w:val="24"/>
          <w:szCs w:val="24"/>
          <w:lang w:val="fr-FR"/>
        </w:rPr>
        <w:t>délais et de livrer des produits de qualité.</w:t>
      </w:r>
    </w:p>
    <w:p w:rsidR="00E61414" w:rsidRPr="00644532" w:rsidRDefault="00D64CE2" w:rsidP="00FA4EA6">
      <w:pPr>
        <w:pStyle w:val="ListParagraph"/>
        <w:numPr>
          <w:ilvl w:val="0"/>
          <w:numId w:val="11"/>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Excellentes compétences en rédaction et en présentation pour produire des rapports clairs</w:t>
      </w:r>
      <w:r w:rsidR="00E61414" w:rsidRPr="00644532">
        <w:rPr>
          <w:rFonts w:eastAsia="Times New Roman" w:cstheme="minorHAnsi"/>
          <w:bCs/>
          <w:sz w:val="24"/>
          <w:szCs w:val="24"/>
          <w:lang w:val="fr-FR"/>
        </w:rPr>
        <w:t xml:space="preserve"> et complets.</w:t>
      </w:r>
    </w:p>
    <w:p w:rsidR="00D64CE2" w:rsidRPr="00644532" w:rsidRDefault="00E61414" w:rsidP="00191DF8">
      <w:pPr>
        <w:pStyle w:val="ListParagraph"/>
        <w:numPr>
          <w:ilvl w:val="0"/>
          <w:numId w:val="4"/>
        </w:numPr>
        <w:spacing w:before="100" w:beforeAutospacing="1" w:after="100" w:afterAutospacing="1" w:line="360" w:lineRule="auto"/>
        <w:rPr>
          <w:rFonts w:eastAsia="Times New Roman" w:cstheme="minorHAnsi"/>
          <w:sz w:val="24"/>
          <w:szCs w:val="24"/>
          <w:lang w:val="fr-FR"/>
        </w:rPr>
      </w:pPr>
      <w:r w:rsidRPr="00644532">
        <w:rPr>
          <w:rFonts w:eastAsia="Times New Roman" w:cstheme="minorHAnsi"/>
          <w:sz w:val="24"/>
          <w:szCs w:val="24"/>
          <w:lang w:val="fr-FR"/>
        </w:rPr>
        <w:t>La maîtrise de l'anglais est un atout.</w:t>
      </w:r>
    </w:p>
    <w:p w:rsidR="00D64CE2" w:rsidRPr="00644532" w:rsidRDefault="00D64CE2" w:rsidP="00FA4EA6">
      <w:pPr>
        <w:spacing w:before="100" w:beforeAutospacing="1" w:after="100" w:afterAutospacing="1" w:line="360" w:lineRule="auto"/>
        <w:rPr>
          <w:rFonts w:eastAsia="Times New Roman" w:cstheme="minorHAnsi"/>
          <w:b/>
          <w:bCs/>
          <w:sz w:val="24"/>
          <w:szCs w:val="24"/>
          <w:u w:val="single"/>
          <w:lang w:val="fr-FR"/>
        </w:rPr>
      </w:pPr>
      <w:r w:rsidRPr="00644532">
        <w:rPr>
          <w:rFonts w:eastAsia="Times New Roman" w:cstheme="minorHAnsi"/>
          <w:b/>
          <w:bCs/>
          <w:sz w:val="24"/>
          <w:szCs w:val="24"/>
          <w:u w:val="single"/>
          <w:lang w:val="fr-FR"/>
        </w:rPr>
        <w:t>Tâches du Consultant :</w:t>
      </w:r>
    </w:p>
    <w:p w:rsidR="00D64CE2" w:rsidRPr="00644532" w:rsidRDefault="006E7D63" w:rsidP="00FA4EA6">
      <w:p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 xml:space="preserve">La personne consultante </w:t>
      </w:r>
      <w:r w:rsidR="00D64CE2" w:rsidRPr="00644532">
        <w:rPr>
          <w:rFonts w:eastAsia="Times New Roman" w:cstheme="minorHAnsi"/>
          <w:bCs/>
          <w:sz w:val="24"/>
          <w:szCs w:val="24"/>
          <w:lang w:val="fr-FR"/>
        </w:rPr>
        <w:t>sera responsable de :</w:t>
      </w:r>
    </w:p>
    <w:p w:rsidR="00D64CE2" w:rsidRPr="00644532" w:rsidRDefault="00D64CE2" w:rsidP="00FA4EA6">
      <w:pPr>
        <w:numPr>
          <w:ilvl w:val="0"/>
          <w:numId w:val="9"/>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Collaborer avec les parties prenantes locales, y compris les prestataires de soins, les leaders communautaires et les ONG, afin d’assurer une recherche adaptée culturellement et informée par la communauté.</w:t>
      </w:r>
    </w:p>
    <w:p w:rsidR="00D64CE2" w:rsidRPr="00644532" w:rsidRDefault="00D64CE2" w:rsidP="00FA4EA6">
      <w:pPr>
        <w:numPr>
          <w:ilvl w:val="0"/>
          <w:numId w:val="9"/>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Réaliser la collecte de données via des entretiens, des groupes de discussion et d'autres méthodes pertinentes, s</w:t>
      </w:r>
      <w:bookmarkStart w:id="4" w:name="_GoBack"/>
      <w:bookmarkEnd w:id="4"/>
      <w:r w:rsidRPr="00644532">
        <w:rPr>
          <w:rFonts w:eastAsia="Times New Roman" w:cstheme="minorHAnsi"/>
          <w:bCs/>
          <w:sz w:val="24"/>
          <w:szCs w:val="24"/>
          <w:lang w:val="fr-FR"/>
        </w:rPr>
        <w:t>uivie d'une analyse qualitative rigoureuse.</w:t>
      </w:r>
    </w:p>
    <w:p w:rsidR="00D64CE2" w:rsidRPr="00644532" w:rsidRDefault="00D64CE2" w:rsidP="00FA4EA6">
      <w:pPr>
        <w:numPr>
          <w:ilvl w:val="0"/>
          <w:numId w:val="9"/>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Cs/>
          <w:sz w:val="24"/>
          <w:szCs w:val="24"/>
          <w:lang w:val="fr-FR"/>
        </w:rPr>
        <w:t>Synthétiser les résultats dans un rapport complet avec des recommandations pour renforcer les services aux partenaires et les efforts de traçage des contacts dans la réponse au VIH en Haïti.</w:t>
      </w:r>
    </w:p>
    <w:p w:rsidR="00135473" w:rsidRPr="00644532" w:rsidRDefault="001A0F83" w:rsidP="00FA4EA6">
      <w:pPr>
        <w:spacing w:before="100" w:beforeAutospacing="1" w:after="100" w:afterAutospacing="1" w:line="360" w:lineRule="auto"/>
        <w:rPr>
          <w:rFonts w:eastAsia="Times New Roman" w:cstheme="minorHAnsi"/>
          <w:sz w:val="24"/>
          <w:szCs w:val="24"/>
          <w:u w:val="single"/>
          <w:lang w:val="fr-FR"/>
        </w:rPr>
      </w:pPr>
      <w:r w:rsidRPr="00644532">
        <w:rPr>
          <w:rFonts w:eastAsia="Times New Roman" w:cstheme="minorHAnsi"/>
          <w:b/>
          <w:bCs/>
          <w:sz w:val="24"/>
          <w:szCs w:val="24"/>
          <w:u w:val="single"/>
          <w:lang w:val="fr-FR"/>
        </w:rPr>
        <w:t>Résultats attendus</w:t>
      </w:r>
    </w:p>
    <w:p w:rsidR="00E61414" w:rsidRPr="00644532" w:rsidRDefault="00E61414" w:rsidP="00FA4EA6">
      <w:pPr>
        <w:pStyle w:val="ListParagraph"/>
        <w:numPr>
          <w:ilvl w:val="0"/>
          <w:numId w:val="12"/>
        </w:numPr>
        <w:spacing w:line="360" w:lineRule="auto"/>
        <w:rPr>
          <w:rFonts w:eastAsia="Times New Roman" w:cstheme="minorHAnsi"/>
          <w:sz w:val="24"/>
          <w:szCs w:val="24"/>
          <w:lang w:val="fr-FR"/>
        </w:rPr>
      </w:pPr>
      <w:r w:rsidRPr="00644532">
        <w:rPr>
          <w:rFonts w:eastAsia="Times New Roman" w:cstheme="minorHAnsi"/>
          <w:b/>
          <w:bCs/>
          <w:sz w:val="24"/>
          <w:szCs w:val="24"/>
          <w:lang w:val="fr-FR"/>
        </w:rPr>
        <w:t>Outils de Collecte et d’Analyse des Données</w:t>
      </w:r>
      <w:r w:rsidRPr="00644532">
        <w:rPr>
          <w:rFonts w:eastAsia="Times New Roman" w:cstheme="minorHAnsi"/>
          <w:sz w:val="24"/>
          <w:szCs w:val="24"/>
          <w:lang w:val="fr-FR"/>
        </w:rPr>
        <w:t xml:space="preserve"> : Préparer et partager les outils pour la collecte et l'analyse des données.</w:t>
      </w:r>
    </w:p>
    <w:p w:rsidR="00E61414" w:rsidRPr="00644532" w:rsidRDefault="00E61414" w:rsidP="00FA4EA6">
      <w:pPr>
        <w:pStyle w:val="ListParagraph"/>
        <w:numPr>
          <w:ilvl w:val="0"/>
          <w:numId w:val="12"/>
        </w:numPr>
        <w:spacing w:line="360" w:lineRule="auto"/>
        <w:rPr>
          <w:rFonts w:eastAsia="Times New Roman" w:cstheme="minorHAnsi"/>
          <w:sz w:val="24"/>
          <w:szCs w:val="24"/>
          <w:lang w:val="fr-FR"/>
        </w:rPr>
      </w:pPr>
      <w:r w:rsidRPr="00644532">
        <w:rPr>
          <w:rFonts w:eastAsia="Times New Roman" w:cstheme="minorHAnsi"/>
          <w:b/>
          <w:bCs/>
          <w:sz w:val="24"/>
          <w:szCs w:val="24"/>
          <w:lang w:val="fr-FR"/>
        </w:rPr>
        <w:t>Planification et Conduite des Groupes de Discussion</w:t>
      </w:r>
      <w:r w:rsidRPr="00644532">
        <w:rPr>
          <w:rFonts w:eastAsia="Times New Roman" w:cstheme="minorHAnsi"/>
          <w:sz w:val="24"/>
          <w:szCs w:val="24"/>
          <w:lang w:val="fr-FR"/>
        </w:rPr>
        <w:t xml:space="preserve"> : Planifier et conduire des groupes de discussion et des entretiens semi-structurés.</w:t>
      </w:r>
    </w:p>
    <w:p w:rsidR="00E61414" w:rsidRPr="00644532" w:rsidRDefault="00E61414" w:rsidP="00FA4EA6">
      <w:pPr>
        <w:pStyle w:val="ListParagraph"/>
        <w:numPr>
          <w:ilvl w:val="0"/>
          <w:numId w:val="12"/>
        </w:numPr>
        <w:spacing w:line="360" w:lineRule="auto"/>
        <w:rPr>
          <w:rFonts w:eastAsia="Times New Roman" w:cstheme="minorHAnsi"/>
          <w:sz w:val="24"/>
          <w:szCs w:val="24"/>
          <w:lang w:val="fr-FR"/>
        </w:rPr>
      </w:pPr>
      <w:r w:rsidRPr="00644532">
        <w:rPr>
          <w:rFonts w:eastAsia="Times New Roman" w:cstheme="minorHAnsi"/>
          <w:b/>
          <w:bCs/>
          <w:sz w:val="24"/>
          <w:szCs w:val="24"/>
          <w:lang w:val="fr-FR"/>
        </w:rPr>
        <w:t>Codage et Transcription des Données</w:t>
      </w:r>
      <w:r w:rsidRPr="00644532">
        <w:rPr>
          <w:rFonts w:eastAsia="Times New Roman" w:cstheme="minorHAnsi"/>
          <w:sz w:val="24"/>
          <w:szCs w:val="24"/>
          <w:lang w:val="fr-FR"/>
        </w:rPr>
        <w:t xml:space="preserve"> : Partager des informations sur le codage et la transcription des données.</w:t>
      </w:r>
    </w:p>
    <w:p w:rsidR="00E61414" w:rsidRPr="00644532" w:rsidRDefault="00E61414" w:rsidP="00FA4EA6">
      <w:pPr>
        <w:pStyle w:val="ListParagraph"/>
        <w:numPr>
          <w:ilvl w:val="0"/>
          <w:numId w:val="12"/>
        </w:numPr>
        <w:spacing w:line="360" w:lineRule="auto"/>
        <w:rPr>
          <w:rFonts w:eastAsia="Times New Roman" w:cstheme="minorHAnsi"/>
          <w:sz w:val="24"/>
          <w:szCs w:val="24"/>
          <w:lang w:val="fr-FR"/>
        </w:rPr>
      </w:pPr>
      <w:r w:rsidRPr="00644532">
        <w:rPr>
          <w:rFonts w:eastAsia="Times New Roman" w:cstheme="minorHAnsi"/>
          <w:b/>
          <w:bCs/>
          <w:sz w:val="24"/>
          <w:szCs w:val="24"/>
          <w:lang w:val="fr-FR"/>
        </w:rPr>
        <w:t>Rapports des Groupes de Discussion et Entretiens</w:t>
      </w:r>
      <w:r w:rsidRPr="00644532">
        <w:rPr>
          <w:rFonts w:eastAsia="Times New Roman" w:cstheme="minorHAnsi"/>
          <w:sz w:val="24"/>
          <w:szCs w:val="24"/>
          <w:lang w:val="fr-FR"/>
        </w:rPr>
        <w:t xml:space="preserve"> : Fournir des rapports des groupes de discussion et des entretiens en français.</w:t>
      </w:r>
    </w:p>
    <w:p w:rsidR="001A0F83" w:rsidRPr="00644532" w:rsidRDefault="00E61414" w:rsidP="00FA4EA6">
      <w:pPr>
        <w:pStyle w:val="ListParagraph"/>
        <w:numPr>
          <w:ilvl w:val="0"/>
          <w:numId w:val="12"/>
        </w:numPr>
        <w:spacing w:after="0" w:line="360" w:lineRule="auto"/>
        <w:rPr>
          <w:rFonts w:eastAsia="Times New Roman" w:cstheme="minorHAnsi"/>
          <w:sz w:val="24"/>
          <w:szCs w:val="24"/>
          <w:lang w:val="fr-FR"/>
        </w:rPr>
      </w:pPr>
      <w:r w:rsidRPr="00644532">
        <w:rPr>
          <w:rFonts w:eastAsia="Times New Roman" w:cstheme="minorHAnsi"/>
          <w:b/>
          <w:bCs/>
          <w:sz w:val="24"/>
          <w:szCs w:val="24"/>
          <w:lang w:val="fr-FR"/>
        </w:rPr>
        <w:lastRenderedPageBreak/>
        <w:t>Rapport Final</w:t>
      </w:r>
      <w:r w:rsidRPr="00644532">
        <w:rPr>
          <w:rFonts w:eastAsia="Times New Roman" w:cstheme="minorHAnsi"/>
          <w:sz w:val="24"/>
          <w:szCs w:val="24"/>
          <w:lang w:val="fr-FR"/>
        </w:rPr>
        <w:t xml:space="preserve"> : Partager le rapport final en français.</w:t>
      </w:r>
    </w:p>
    <w:p w:rsidR="00F207B6" w:rsidRPr="00644532" w:rsidRDefault="00B1001F" w:rsidP="00FA4EA6">
      <w:pPr>
        <w:numPr>
          <w:ilvl w:val="0"/>
          <w:numId w:val="12"/>
        </w:numPr>
        <w:spacing w:before="100" w:beforeAutospacing="1" w:after="100" w:afterAutospacing="1" w:line="360" w:lineRule="auto"/>
        <w:rPr>
          <w:rFonts w:eastAsia="Times New Roman" w:cstheme="minorHAnsi"/>
          <w:bCs/>
          <w:sz w:val="24"/>
          <w:szCs w:val="24"/>
          <w:lang w:val="fr-FR"/>
        </w:rPr>
      </w:pPr>
      <w:r w:rsidRPr="00644532">
        <w:rPr>
          <w:rFonts w:eastAsia="Times New Roman" w:cstheme="minorHAnsi"/>
          <w:b/>
          <w:bCs/>
          <w:sz w:val="24"/>
          <w:szCs w:val="24"/>
          <w:lang w:val="fr-FR"/>
        </w:rPr>
        <w:t>Rédaction du manuscrit</w:t>
      </w:r>
      <w:r w:rsidRPr="00644532">
        <w:rPr>
          <w:rFonts w:eastAsia="Times New Roman" w:cstheme="minorHAnsi"/>
          <w:bCs/>
          <w:sz w:val="24"/>
          <w:szCs w:val="24"/>
          <w:lang w:val="fr-FR"/>
        </w:rPr>
        <w:t> : Rédiger un manuscrit en vue de publication dans une revue scientifique</w:t>
      </w:r>
    </w:p>
    <w:p w:rsidR="00191DF8" w:rsidRPr="00644532" w:rsidRDefault="00191DF8" w:rsidP="00FA4EA6">
      <w:pPr>
        <w:pStyle w:val="ListParagraph"/>
        <w:spacing w:line="360" w:lineRule="auto"/>
        <w:ind w:left="0"/>
        <w:rPr>
          <w:rFonts w:eastAsia="Times New Roman" w:cstheme="minorHAnsi"/>
          <w:bCs/>
          <w:sz w:val="24"/>
          <w:szCs w:val="24"/>
          <w:lang w:val="fr-FR"/>
        </w:rPr>
      </w:pPr>
      <w:r w:rsidRPr="00644532">
        <w:rPr>
          <w:rFonts w:eastAsia="Times New Roman" w:cstheme="minorHAnsi"/>
          <w:b/>
          <w:sz w:val="24"/>
          <w:szCs w:val="24"/>
          <w:lang w:val="fr-FR"/>
        </w:rPr>
        <w:t xml:space="preserve">Durée de la consultation : </w:t>
      </w:r>
      <w:r w:rsidRPr="00644532">
        <w:rPr>
          <w:rFonts w:eastAsia="Times New Roman" w:cstheme="minorHAnsi"/>
          <w:bCs/>
          <w:sz w:val="24"/>
          <w:szCs w:val="24"/>
          <w:lang w:val="fr-FR"/>
        </w:rPr>
        <w:t>La consultation s'étale sur une période de 15 jours ouvrables, mais le délai de remise du rapport ne doit pas dépasser 2 mois à compter de la date de signature du contrat.</w:t>
      </w:r>
    </w:p>
    <w:p w:rsidR="00F207B6" w:rsidRPr="00644532" w:rsidRDefault="00F207B6" w:rsidP="00FA4EA6">
      <w:pPr>
        <w:pStyle w:val="ListParagraph"/>
        <w:spacing w:line="360" w:lineRule="auto"/>
        <w:ind w:left="0"/>
        <w:rPr>
          <w:rFonts w:cstheme="minorHAnsi"/>
          <w:b/>
          <w:bCs/>
          <w:sz w:val="24"/>
          <w:szCs w:val="24"/>
          <w:lang w:val="fr-FR"/>
        </w:rPr>
      </w:pPr>
      <w:r w:rsidRPr="00644532">
        <w:rPr>
          <w:rFonts w:cstheme="minorHAnsi"/>
          <w:b/>
          <w:bCs/>
          <w:sz w:val="24"/>
          <w:szCs w:val="24"/>
          <w:lang w:val="fr-FR"/>
        </w:rPr>
        <w:t xml:space="preserve">Composition du dossier de candidature </w:t>
      </w:r>
    </w:p>
    <w:p w:rsidR="00F207B6" w:rsidRPr="00644532" w:rsidRDefault="00F207B6" w:rsidP="00FA4EA6">
      <w:pPr>
        <w:pStyle w:val="ListParagraph"/>
        <w:spacing w:line="360" w:lineRule="auto"/>
        <w:ind w:left="0"/>
        <w:rPr>
          <w:rFonts w:cstheme="minorHAnsi"/>
          <w:sz w:val="24"/>
          <w:szCs w:val="24"/>
          <w:lang w:val="fr-FR"/>
        </w:rPr>
      </w:pPr>
      <w:r w:rsidRPr="00644532">
        <w:rPr>
          <w:rFonts w:cstheme="minorHAnsi"/>
          <w:sz w:val="24"/>
          <w:szCs w:val="24"/>
          <w:lang w:val="fr-FR"/>
        </w:rPr>
        <w:t>Les dossiers de candidature doivent contenir une offre technique comprenant les éléments suivants :</w:t>
      </w:r>
      <w:r w:rsidR="00190A35" w:rsidRPr="00644532">
        <w:rPr>
          <w:rFonts w:cstheme="minorHAnsi"/>
          <w:sz w:val="24"/>
          <w:szCs w:val="24"/>
          <w:lang w:val="fr-FR"/>
        </w:rPr>
        <w:t xml:space="preserve"> </w:t>
      </w:r>
    </w:p>
    <w:p w:rsidR="00F207B6" w:rsidRPr="00644532" w:rsidRDefault="00F207B6" w:rsidP="00FA4EA6">
      <w:pPr>
        <w:pStyle w:val="ListParagraph"/>
        <w:numPr>
          <w:ilvl w:val="0"/>
          <w:numId w:val="13"/>
        </w:numPr>
        <w:spacing w:line="360" w:lineRule="auto"/>
        <w:rPr>
          <w:rFonts w:cstheme="minorHAnsi"/>
          <w:sz w:val="24"/>
          <w:szCs w:val="24"/>
          <w:lang w:val="fr-FR"/>
        </w:rPr>
      </w:pPr>
      <w:r w:rsidRPr="00644532">
        <w:rPr>
          <w:rFonts w:cstheme="minorHAnsi"/>
          <w:sz w:val="24"/>
          <w:szCs w:val="24"/>
          <w:lang w:val="fr-FR"/>
        </w:rPr>
        <w:t>Une lettre d’expression d’intérêts et de disponibilité ;</w:t>
      </w:r>
    </w:p>
    <w:p w:rsidR="00F207B6" w:rsidRPr="00644532" w:rsidRDefault="00F207B6" w:rsidP="00FA4EA6">
      <w:pPr>
        <w:pStyle w:val="ListParagraph"/>
        <w:numPr>
          <w:ilvl w:val="0"/>
          <w:numId w:val="13"/>
        </w:numPr>
        <w:spacing w:line="360" w:lineRule="auto"/>
        <w:rPr>
          <w:rFonts w:cstheme="minorHAnsi"/>
          <w:sz w:val="24"/>
          <w:szCs w:val="24"/>
          <w:lang w:val="fr-FR"/>
        </w:rPr>
      </w:pPr>
      <w:r w:rsidRPr="00644532">
        <w:rPr>
          <w:rFonts w:cstheme="minorHAnsi"/>
          <w:sz w:val="24"/>
          <w:szCs w:val="24"/>
          <w:lang w:val="fr-FR"/>
        </w:rPr>
        <w:t>Un</w:t>
      </w:r>
      <w:r w:rsidR="00191DF8" w:rsidRPr="00644532">
        <w:rPr>
          <w:rFonts w:cstheme="minorHAnsi"/>
          <w:sz w:val="24"/>
          <w:szCs w:val="24"/>
          <w:lang w:val="fr-FR"/>
        </w:rPr>
        <w:t xml:space="preserve"> CV </w:t>
      </w:r>
      <w:r w:rsidRPr="00644532">
        <w:rPr>
          <w:rFonts w:cstheme="minorHAnsi"/>
          <w:sz w:val="24"/>
          <w:szCs w:val="24"/>
          <w:lang w:val="fr-FR"/>
        </w:rPr>
        <w:t>de la personne consultante et de ses expériences en rapport aux exigences du TDR ;</w:t>
      </w:r>
    </w:p>
    <w:p w:rsidR="00F207B6" w:rsidRPr="00644532" w:rsidRDefault="00F207B6" w:rsidP="00FA4EA6">
      <w:pPr>
        <w:pStyle w:val="ListParagraph"/>
        <w:numPr>
          <w:ilvl w:val="0"/>
          <w:numId w:val="13"/>
        </w:numPr>
        <w:spacing w:line="360" w:lineRule="auto"/>
        <w:rPr>
          <w:rFonts w:cstheme="minorHAnsi"/>
          <w:sz w:val="24"/>
          <w:szCs w:val="24"/>
          <w:lang w:val="fr-FR"/>
        </w:rPr>
      </w:pPr>
      <w:r w:rsidRPr="00644532">
        <w:rPr>
          <w:rFonts w:cstheme="minorHAnsi"/>
          <w:sz w:val="24"/>
          <w:szCs w:val="24"/>
          <w:lang w:val="fr-FR"/>
        </w:rPr>
        <w:t>Une présentation de la méthodologie détaillée envisagée pour fournir les livrables attendus</w:t>
      </w:r>
      <w:r w:rsidR="00191DF8" w:rsidRPr="00644532">
        <w:rPr>
          <w:rFonts w:cstheme="minorHAnsi"/>
          <w:sz w:val="24"/>
          <w:szCs w:val="24"/>
          <w:lang w:val="fr-FR"/>
        </w:rPr>
        <w:t xml:space="preserve"> en fonction de la compréhension du mandat définit dans le TDR ;</w:t>
      </w:r>
    </w:p>
    <w:p w:rsidR="00191DF8" w:rsidRPr="00644532" w:rsidRDefault="00191DF8" w:rsidP="00C8417A">
      <w:pPr>
        <w:spacing w:line="360" w:lineRule="auto"/>
        <w:jc w:val="both"/>
        <w:rPr>
          <w:b/>
          <w:sz w:val="24"/>
          <w:szCs w:val="24"/>
          <w:lang w:val="fr-FR"/>
        </w:rPr>
      </w:pPr>
      <w:r w:rsidRPr="00644532">
        <w:rPr>
          <w:b/>
          <w:sz w:val="24"/>
          <w:szCs w:val="24"/>
          <w:lang w:val="fr-FR"/>
        </w:rPr>
        <w:t>I.</w:t>
      </w:r>
      <w:r w:rsidRPr="00644532">
        <w:rPr>
          <w:b/>
          <w:sz w:val="24"/>
          <w:szCs w:val="24"/>
          <w:lang w:val="fr-FR"/>
        </w:rPr>
        <w:tab/>
        <w:t xml:space="preserve">Dispositions administratives </w:t>
      </w:r>
    </w:p>
    <w:p w:rsidR="00191DF8" w:rsidRPr="00644532" w:rsidRDefault="00191DF8" w:rsidP="00C8417A">
      <w:pPr>
        <w:spacing w:line="360" w:lineRule="auto"/>
        <w:jc w:val="both"/>
        <w:rPr>
          <w:bCs/>
          <w:sz w:val="24"/>
          <w:szCs w:val="24"/>
          <w:lang w:val="fr-FR"/>
        </w:rPr>
      </w:pPr>
      <w:r w:rsidRPr="00644532">
        <w:rPr>
          <w:bCs/>
          <w:sz w:val="24"/>
          <w:szCs w:val="24"/>
          <w:lang w:val="fr-FR"/>
        </w:rPr>
        <w:t>Le consultant ou le chef d'équipe du cabinet sera sous la supervision directe du Coordinateur du PNLS. Cependant, il/elle travaillera en étroite collaboration avec le Responsable M&amp;E et le chef de l’unité PREVENTION pour gérer la mise en œuvre de ce projet d'enquête. Ils assureront la liaison avec les parties prenantes et accompagneront également le consultant sur le terrain pour assurer le contrôle de la qualité.</w:t>
      </w:r>
    </w:p>
    <w:p w:rsidR="00AD1AC1" w:rsidRPr="00644532" w:rsidRDefault="00191DF8" w:rsidP="00C8417A">
      <w:pPr>
        <w:spacing w:line="360" w:lineRule="auto"/>
        <w:jc w:val="both"/>
        <w:rPr>
          <w:bCs/>
          <w:sz w:val="24"/>
          <w:szCs w:val="24"/>
          <w:lang w:val="fr-FR"/>
        </w:rPr>
      </w:pPr>
      <w:r w:rsidRPr="00644532">
        <w:rPr>
          <w:bCs/>
          <w:sz w:val="24"/>
          <w:szCs w:val="24"/>
          <w:lang w:val="fr-FR"/>
        </w:rPr>
        <w:t>Le consultant sera sélectionné conformément aux procédures de coordination technique du PNLS.  Les honoraires du consultant seront payés par le projet de coordination technique du PNLS financé par UNICEF-Haïti. Les arrangements contractuels incluront d'autres éléments non mentionnés dans les présents termes de référence qui obligeront les parties signataires à respecter le calendrier d'exécution, la production des résultats et le paiement de cette consultation technique.</w:t>
      </w:r>
    </w:p>
    <w:p w:rsidR="008C48B9" w:rsidRPr="00644532" w:rsidRDefault="008C48B9" w:rsidP="00191DF8">
      <w:pPr>
        <w:spacing w:line="360" w:lineRule="auto"/>
        <w:ind w:left="360"/>
        <w:jc w:val="both"/>
        <w:rPr>
          <w:bCs/>
          <w:sz w:val="24"/>
          <w:szCs w:val="24"/>
          <w:lang w:val="fr-FR"/>
        </w:rPr>
      </w:pPr>
    </w:p>
    <w:p w:rsidR="00CD638B" w:rsidRPr="00644532" w:rsidRDefault="00CD638B" w:rsidP="008C48B9">
      <w:pPr>
        <w:pStyle w:val="ListParagraph"/>
        <w:numPr>
          <w:ilvl w:val="1"/>
          <w:numId w:val="9"/>
        </w:numPr>
        <w:autoSpaceDE w:val="0"/>
        <w:autoSpaceDN w:val="0"/>
        <w:adjustRightInd w:val="0"/>
        <w:spacing w:after="120" w:line="276" w:lineRule="auto"/>
        <w:jc w:val="both"/>
        <w:rPr>
          <w:rFonts w:cs="Arial"/>
          <w:b/>
          <w:bCs/>
          <w:sz w:val="24"/>
          <w:szCs w:val="24"/>
        </w:rPr>
      </w:pPr>
      <w:proofErr w:type="spellStart"/>
      <w:r w:rsidRPr="00644532">
        <w:rPr>
          <w:rFonts w:cs="Arial"/>
          <w:b/>
          <w:bCs/>
          <w:sz w:val="24"/>
          <w:szCs w:val="24"/>
        </w:rPr>
        <w:lastRenderedPageBreak/>
        <w:t>Dépôt</w:t>
      </w:r>
      <w:proofErr w:type="spellEnd"/>
      <w:r w:rsidRPr="00644532">
        <w:rPr>
          <w:rFonts w:cs="Arial"/>
          <w:b/>
          <w:bCs/>
          <w:sz w:val="24"/>
          <w:szCs w:val="24"/>
        </w:rPr>
        <w:t xml:space="preserve"> des dossiers </w:t>
      </w:r>
    </w:p>
    <w:p w:rsidR="00CD638B" w:rsidRPr="00644532" w:rsidRDefault="00CD638B" w:rsidP="00C8417A">
      <w:pPr>
        <w:autoSpaceDE w:val="0"/>
        <w:autoSpaceDN w:val="0"/>
        <w:adjustRightInd w:val="0"/>
        <w:spacing w:after="120" w:line="360" w:lineRule="auto"/>
        <w:jc w:val="both"/>
        <w:rPr>
          <w:rFonts w:cs="Arial"/>
          <w:bCs/>
          <w:sz w:val="24"/>
          <w:szCs w:val="24"/>
          <w:lang w:val="fr-FR"/>
        </w:rPr>
      </w:pPr>
      <w:r w:rsidRPr="00644532">
        <w:rPr>
          <w:rFonts w:cs="Arial"/>
          <w:bCs/>
          <w:sz w:val="24"/>
          <w:szCs w:val="24"/>
          <w:lang w:val="fr-FR"/>
        </w:rPr>
        <w:t>Les dossiers de candidature doivent être déposés sous plis cacheté au local de la Coordination Technique du Programme National de Lutte contre le Sida sis au #</w:t>
      </w:r>
      <w:r w:rsidR="00AD1AC1" w:rsidRPr="00644532">
        <w:rPr>
          <w:rFonts w:cs="Arial"/>
          <w:bCs/>
          <w:sz w:val="24"/>
          <w:szCs w:val="24"/>
          <w:lang w:val="fr-FR"/>
        </w:rPr>
        <w:t>17,</w:t>
      </w:r>
      <w:r w:rsidRPr="00644532">
        <w:rPr>
          <w:rFonts w:cs="Arial"/>
          <w:bCs/>
          <w:sz w:val="24"/>
          <w:szCs w:val="24"/>
          <w:lang w:val="fr-FR"/>
        </w:rPr>
        <w:t xml:space="preserve"> Rue </w:t>
      </w:r>
      <w:proofErr w:type="spellStart"/>
      <w:r w:rsidRPr="00644532">
        <w:rPr>
          <w:rFonts w:cs="Arial"/>
          <w:bCs/>
          <w:sz w:val="24"/>
          <w:szCs w:val="24"/>
          <w:lang w:val="fr-FR"/>
        </w:rPr>
        <w:t>Darguin</w:t>
      </w:r>
      <w:proofErr w:type="spellEnd"/>
      <w:r w:rsidR="00AD1AC1" w:rsidRPr="00644532">
        <w:rPr>
          <w:rFonts w:cs="Arial"/>
          <w:bCs/>
          <w:sz w:val="24"/>
          <w:szCs w:val="24"/>
          <w:lang w:val="fr-FR"/>
        </w:rPr>
        <w:t>,</w:t>
      </w:r>
      <w:r w:rsidRPr="00644532">
        <w:rPr>
          <w:rFonts w:cs="Arial"/>
          <w:b/>
          <w:bCs/>
          <w:sz w:val="24"/>
          <w:szCs w:val="24"/>
          <w:lang w:val="fr-FR"/>
        </w:rPr>
        <w:t xml:space="preserve"> Pétion-ville</w:t>
      </w:r>
      <w:r w:rsidRPr="00644532">
        <w:rPr>
          <w:rFonts w:cs="Arial"/>
          <w:bCs/>
          <w:sz w:val="24"/>
          <w:szCs w:val="24"/>
          <w:lang w:val="fr-FR"/>
        </w:rPr>
        <w:t xml:space="preserve">. L’enveloppe doit porter le nom du candidat avec la mention de la consultation technique : </w:t>
      </w:r>
      <w:r w:rsidR="008C48B9" w:rsidRPr="00644532">
        <w:rPr>
          <w:rFonts w:cs="Arial"/>
          <w:b/>
          <w:bCs/>
          <w:sz w:val="24"/>
          <w:szCs w:val="24"/>
          <w:lang w:val="fr-FR"/>
        </w:rPr>
        <w:t>«</w:t>
      </w:r>
      <w:r w:rsidRPr="00644532">
        <w:rPr>
          <w:rFonts w:cs="Arial"/>
          <w:b/>
          <w:bCs/>
          <w:sz w:val="24"/>
          <w:szCs w:val="24"/>
          <w:lang w:val="fr-FR"/>
        </w:rPr>
        <w:t>Enquête</w:t>
      </w:r>
      <w:r w:rsidR="00AD1AC1" w:rsidRPr="00644532">
        <w:rPr>
          <w:rFonts w:cs="Arial"/>
          <w:b/>
          <w:bCs/>
          <w:sz w:val="24"/>
          <w:szCs w:val="24"/>
          <w:lang w:val="fr-FR"/>
        </w:rPr>
        <w:t xml:space="preserve"> sur l’</w:t>
      </w:r>
      <w:r w:rsidR="00AD1AC1" w:rsidRPr="00644532">
        <w:rPr>
          <w:b/>
          <w:sz w:val="24"/>
          <w:szCs w:val="24"/>
          <w:lang w:val="fr-FR"/>
        </w:rPr>
        <w:t>utilisation des services de notification des contacts dans le cadre du VIH</w:t>
      </w:r>
      <w:r w:rsidRPr="00644532">
        <w:rPr>
          <w:rFonts w:cs="Arial"/>
          <w:b/>
          <w:bCs/>
          <w:sz w:val="24"/>
          <w:szCs w:val="24"/>
          <w:lang w:val="fr-FR"/>
        </w:rPr>
        <w:t>»</w:t>
      </w:r>
      <w:r w:rsidRPr="00644532">
        <w:rPr>
          <w:rFonts w:cs="Arial"/>
          <w:bCs/>
          <w:sz w:val="24"/>
          <w:szCs w:val="24"/>
          <w:lang w:val="fr-FR"/>
        </w:rPr>
        <w:t xml:space="preserve">. Les dossiers qui ne sont pas conformes </w:t>
      </w:r>
      <w:r w:rsidR="00AD1AC1" w:rsidRPr="00644532">
        <w:rPr>
          <w:rFonts w:cs="Arial"/>
          <w:bCs/>
          <w:sz w:val="24"/>
          <w:szCs w:val="24"/>
          <w:lang w:val="fr-FR"/>
        </w:rPr>
        <w:t xml:space="preserve">aux critères recherchés </w:t>
      </w:r>
      <w:r w:rsidRPr="00644532">
        <w:rPr>
          <w:rFonts w:cs="Arial"/>
          <w:bCs/>
          <w:sz w:val="24"/>
          <w:szCs w:val="24"/>
          <w:lang w:val="fr-FR"/>
        </w:rPr>
        <w:t>seront automatiquement rejetés. Les dossie</w:t>
      </w:r>
      <w:r w:rsidR="008C48B9" w:rsidRPr="00644532">
        <w:rPr>
          <w:rFonts w:cs="Arial"/>
          <w:bCs/>
          <w:sz w:val="24"/>
          <w:szCs w:val="24"/>
          <w:lang w:val="fr-FR"/>
        </w:rPr>
        <w:t>rs</w:t>
      </w:r>
      <w:r w:rsidR="000A6520" w:rsidRPr="00644532">
        <w:rPr>
          <w:rFonts w:cs="Arial"/>
          <w:bCs/>
          <w:sz w:val="24"/>
          <w:szCs w:val="24"/>
          <w:lang w:val="fr-FR"/>
        </w:rPr>
        <w:t xml:space="preserve"> seront reçus au plus tard le 10 mars</w:t>
      </w:r>
      <w:r w:rsidR="008C48B9" w:rsidRPr="00644532">
        <w:rPr>
          <w:rFonts w:cs="Arial"/>
          <w:bCs/>
          <w:sz w:val="24"/>
          <w:szCs w:val="24"/>
          <w:lang w:val="fr-FR"/>
        </w:rPr>
        <w:t xml:space="preserve"> 2025. </w:t>
      </w:r>
    </w:p>
    <w:p w:rsidR="00CD638B" w:rsidRPr="00644532" w:rsidRDefault="00CD638B" w:rsidP="00CD638B">
      <w:pPr>
        <w:spacing w:after="120" w:line="240" w:lineRule="auto"/>
        <w:rPr>
          <w:sz w:val="24"/>
          <w:szCs w:val="24"/>
          <w:lang w:val="fr-FR"/>
        </w:rPr>
      </w:pPr>
    </w:p>
    <w:p w:rsidR="00CD638B" w:rsidRPr="00644532" w:rsidRDefault="00CD638B" w:rsidP="00CD638B">
      <w:pPr>
        <w:spacing w:after="120" w:line="276" w:lineRule="auto"/>
        <w:jc w:val="both"/>
        <w:rPr>
          <w:sz w:val="24"/>
          <w:szCs w:val="24"/>
          <w:lang w:val="fr-FR"/>
        </w:rPr>
      </w:pPr>
    </w:p>
    <w:p w:rsidR="00CD638B" w:rsidRPr="00644532" w:rsidRDefault="00CD638B" w:rsidP="00CD638B">
      <w:pPr>
        <w:spacing w:after="120" w:line="240" w:lineRule="auto"/>
        <w:jc w:val="both"/>
        <w:rPr>
          <w:sz w:val="24"/>
          <w:szCs w:val="24"/>
          <w:lang w:val="fr-FR"/>
        </w:rPr>
      </w:pPr>
    </w:p>
    <w:p w:rsidR="00CD638B" w:rsidRPr="00644532" w:rsidRDefault="00CD638B" w:rsidP="00CD638B">
      <w:pPr>
        <w:spacing w:after="120" w:line="240" w:lineRule="auto"/>
        <w:jc w:val="both"/>
        <w:rPr>
          <w:sz w:val="24"/>
          <w:szCs w:val="24"/>
          <w:lang w:val="fr-FR"/>
        </w:rPr>
      </w:pPr>
    </w:p>
    <w:p w:rsidR="00CD638B" w:rsidRPr="00644532" w:rsidRDefault="00CD638B" w:rsidP="00CD638B">
      <w:pPr>
        <w:spacing w:after="120" w:line="240" w:lineRule="auto"/>
        <w:jc w:val="both"/>
        <w:rPr>
          <w:sz w:val="24"/>
          <w:szCs w:val="24"/>
          <w:lang w:val="fr-FR"/>
        </w:rPr>
      </w:pPr>
    </w:p>
    <w:p w:rsidR="00CD638B" w:rsidRPr="00644532" w:rsidRDefault="00CD638B" w:rsidP="00CD638B">
      <w:pPr>
        <w:spacing w:after="120" w:line="240" w:lineRule="auto"/>
        <w:jc w:val="both"/>
        <w:rPr>
          <w:sz w:val="24"/>
          <w:szCs w:val="24"/>
          <w:lang w:val="fr-FR"/>
        </w:rPr>
      </w:pPr>
    </w:p>
    <w:p w:rsidR="00CD638B" w:rsidRPr="00644532" w:rsidRDefault="00CD638B" w:rsidP="00CD638B">
      <w:pPr>
        <w:spacing w:after="120" w:line="240" w:lineRule="auto"/>
        <w:jc w:val="both"/>
        <w:rPr>
          <w:sz w:val="24"/>
          <w:szCs w:val="24"/>
          <w:lang w:val="fr-FR"/>
        </w:rPr>
      </w:pPr>
    </w:p>
    <w:p w:rsidR="00CD638B" w:rsidRPr="00644532" w:rsidRDefault="00CD638B" w:rsidP="00CD638B">
      <w:pPr>
        <w:spacing w:after="120" w:line="240" w:lineRule="auto"/>
        <w:rPr>
          <w:sz w:val="24"/>
          <w:szCs w:val="24"/>
          <w:lang w:val="fr-FR"/>
        </w:rPr>
      </w:pPr>
    </w:p>
    <w:p w:rsidR="00CD638B" w:rsidRPr="00644532" w:rsidRDefault="00CD638B" w:rsidP="00CD638B">
      <w:pPr>
        <w:spacing w:after="120" w:line="240" w:lineRule="auto"/>
        <w:rPr>
          <w:sz w:val="24"/>
          <w:szCs w:val="24"/>
          <w:lang w:val="fr-FR"/>
        </w:rPr>
      </w:pPr>
    </w:p>
    <w:p w:rsidR="00CD638B" w:rsidRPr="00644532" w:rsidRDefault="00CD638B" w:rsidP="00CD638B">
      <w:pPr>
        <w:spacing w:line="360" w:lineRule="auto"/>
        <w:ind w:left="360"/>
        <w:rPr>
          <w:rFonts w:cstheme="minorHAnsi"/>
          <w:sz w:val="24"/>
          <w:szCs w:val="24"/>
          <w:lang w:val="fr-FR"/>
        </w:rPr>
      </w:pPr>
    </w:p>
    <w:sectPr w:rsidR="00CD638B" w:rsidRPr="00644532" w:rsidSect="00D50E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6F4" w:rsidRDefault="00DD66F4" w:rsidP="00CD638B">
      <w:pPr>
        <w:spacing w:after="0" w:line="240" w:lineRule="auto"/>
      </w:pPr>
      <w:r>
        <w:separator/>
      </w:r>
    </w:p>
  </w:endnote>
  <w:endnote w:type="continuationSeparator" w:id="0">
    <w:p w:rsidR="00DD66F4" w:rsidRDefault="00DD66F4" w:rsidP="00CD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6F4" w:rsidRDefault="00DD66F4" w:rsidP="00CD638B">
      <w:pPr>
        <w:spacing w:after="0" w:line="240" w:lineRule="auto"/>
      </w:pPr>
      <w:r>
        <w:separator/>
      </w:r>
    </w:p>
  </w:footnote>
  <w:footnote w:type="continuationSeparator" w:id="0">
    <w:p w:rsidR="00DD66F4" w:rsidRDefault="00DD66F4" w:rsidP="00CD6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20D"/>
    <w:multiLevelType w:val="hybridMultilevel"/>
    <w:tmpl w:val="1EAA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70E30"/>
    <w:multiLevelType w:val="multilevel"/>
    <w:tmpl w:val="04E65A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63C33"/>
    <w:multiLevelType w:val="hybridMultilevel"/>
    <w:tmpl w:val="7214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4156B"/>
    <w:multiLevelType w:val="hybridMultilevel"/>
    <w:tmpl w:val="276CC12A"/>
    <w:lvl w:ilvl="0" w:tplc="04090013">
      <w:start w:val="1"/>
      <w:numFmt w:val="upp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26A84"/>
    <w:multiLevelType w:val="hybridMultilevel"/>
    <w:tmpl w:val="44DE4798"/>
    <w:lvl w:ilvl="0" w:tplc="132CED60">
      <w:numFmt w:val="bullet"/>
      <w:lvlText w:val="-"/>
      <w:lvlJc w:val="left"/>
      <w:pPr>
        <w:ind w:left="720" w:hanging="360"/>
      </w:pPr>
      <w:rPr>
        <w:rFonts w:ascii="Calibri" w:eastAsiaTheme="minorHAnsi" w:hAnsi="Calibri" w:cs="Calibr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4E430D"/>
    <w:multiLevelType w:val="hybridMultilevel"/>
    <w:tmpl w:val="23889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1AF5A2D"/>
    <w:multiLevelType w:val="hybridMultilevel"/>
    <w:tmpl w:val="62C80278"/>
    <w:lvl w:ilvl="0" w:tplc="040C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nsid w:val="53551FE8"/>
    <w:multiLevelType w:val="hybridMultilevel"/>
    <w:tmpl w:val="6D56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A22194"/>
    <w:multiLevelType w:val="hybridMultilevel"/>
    <w:tmpl w:val="0B4A6392"/>
    <w:lvl w:ilvl="0" w:tplc="132CED60">
      <w:numFmt w:val="bullet"/>
      <w:lvlText w:val="-"/>
      <w:lvlJc w:val="left"/>
      <w:pPr>
        <w:ind w:left="720" w:hanging="360"/>
      </w:pPr>
      <w:rPr>
        <w:rFonts w:ascii="Calibri" w:eastAsiaTheme="minorHAnsi" w:hAnsi="Calibri" w:cs="Calibr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B7630"/>
    <w:multiLevelType w:val="hybridMultilevel"/>
    <w:tmpl w:val="9FDA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3866BF"/>
    <w:multiLevelType w:val="multilevel"/>
    <w:tmpl w:val="1746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B36E55"/>
    <w:multiLevelType w:val="multilevel"/>
    <w:tmpl w:val="1840BF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42086B"/>
    <w:multiLevelType w:val="multilevel"/>
    <w:tmpl w:val="221CEC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F76A45"/>
    <w:multiLevelType w:val="hybridMultilevel"/>
    <w:tmpl w:val="509245F8"/>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4">
    <w:nsid w:val="6F363835"/>
    <w:multiLevelType w:val="hybridMultilevel"/>
    <w:tmpl w:val="A69A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4"/>
  </w:num>
  <w:num w:numId="6">
    <w:abstractNumId w:val="5"/>
  </w:num>
  <w:num w:numId="7">
    <w:abstractNumId w:val="0"/>
  </w:num>
  <w:num w:numId="8">
    <w:abstractNumId w:val="1"/>
  </w:num>
  <w:num w:numId="9">
    <w:abstractNumId w:val="12"/>
  </w:num>
  <w:num w:numId="10">
    <w:abstractNumId w:val="7"/>
  </w:num>
  <w:num w:numId="11">
    <w:abstractNumId w:val="9"/>
  </w:num>
  <w:num w:numId="12">
    <w:abstractNumId w:val="11"/>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2B57"/>
    <w:rsid w:val="000651B7"/>
    <w:rsid w:val="00094820"/>
    <w:rsid w:val="000A1E71"/>
    <w:rsid w:val="000A5021"/>
    <w:rsid w:val="000A6520"/>
    <w:rsid w:val="000A75F5"/>
    <w:rsid w:val="000B27EC"/>
    <w:rsid w:val="000C3088"/>
    <w:rsid w:val="000E0F08"/>
    <w:rsid w:val="000F7EBE"/>
    <w:rsid w:val="001025ED"/>
    <w:rsid w:val="001043F0"/>
    <w:rsid w:val="00135473"/>
    <w:rsid w:val="00190A35"/>
    <w:rsid w:val="00191DF8"/>
    <w:rsid w:val="00197F97"/>
    <w:rsid w:val="001A0F83"/>
    <w:rsid w:val="001A1F66"/>
    <w:rsid w:val="00211CDD"/>
    <w:rsid w:val="00224155"/>
    <w:rsid w:val="002E13E6"/>
    <w:rsid w:val="002F27A2"/>
    <w:rsid w:val="00331435"/>
    <w:rsid w:val="00382B6E"/>
    <w:rsid w:val="003B572D"/>
    <w:rsid w:val="003E3B88"/>
    <w:rsid w:val="003F30E2"/>
    <w:rsid w:val="00473C62"/>
    <w:rsid w:val="004A01D6"/>
    <w:rsid w:val="005651E5"/>
    <w:rsid w:val="00594406"/>
    <w:rsid w:val="005A6952"/>
    <w:rsid w:val="005B59E8"/>
    <w:rsid w:val="0060196E"/>
    <w:rsid w:val="00603AAF"/>
    <w:rsid w:val="00607400"/>
    <w:rsid w:val="00613F7E"/>
    <w:rsid w:val="00644532"/>
    <w:rsid w:val="006837FE"/>
    <w:rsid w:val="006846DA"/>
    <w:rsid w:val="006E7D63"/>
    <w:rsid w:val="006F5636"/>
    <w:rsid w:val="00714979"/>
    <w:rsid w:val="00742ED7"/>
    <w:rsid w:val="007E723E"/>
    <w:rsid w:val="008044EA"/>
    <w:rsid w:val="00805D2C"/>
    <w:rsid w:val="008167CC"/>
    <w:rsid w:val="0084177A"/>
    <w:rsid w:val="008B479C"/>
    <w:rsid w:val="008C48B9"/>
    <w:rsid w:val="00903692"/>
    <w:rsid w:val="009273E7"/>
    <w:rsid w:val="00974C6A"/>
    <w:rsid w:val="00A066CC"/>
    <w:rsid w:val="00A145EF"/>
    <w:rsid w:val="00A62B57"/>
    <w:rsid w:val="00A91CA6"/>
    <w:rsid w:val="00AD1AC1"/>
    <w:rsid w:val="00AE718B"/>
    <w:rsid w:val="00B1001F"/>
    <w:rsid w:val="00B601FA"/>
    <w:rsid w:val="00BF05F1"/>
    <w:rsid w:val="00BF10B6"/>
    <w:rsid w:val="00C0424C"/>
    <w:rsid w:val="00C065E5"/>
    <w:rsid w:val="00C1644F"/>
    <w:rsid w:val="00C54147"/>
    <w:rsid w:val="00C8417A"/>
    <w:rsid w:val="00C943E9"/>
    <w:rsid w:val="00CA2926"/>
    <w:rsid w:val="00CC2552"/>
    <w:rsid w:val="00CD638B"/>
    <w:rsid w:val="00D50EB8"/>
    <w:rsid w:val="00D63AD5"/>
    <w:rsid w:val="00D64CE2"/>
    <w:rsid w:val="00D85253"/>
    <w:rsid w:val="00D94F74"/>
    <w:rsid w:val="00DB111E"/>
    <w:rsid w:val="00DD66F4"/>
    <w:rsid w:val="00E61414"/>
    <w:rsid w:val="00E64543"/>
    <w:rsid w:val="00E84BC3"/>
    <w:rsid w:val="00EA5B1B"/>
    <w:rsid w:val="00F207B6"/>
    <w:rsid w:val="00F317B3"/>
    <w:rsid w:val="00F318CE"/>
    <w:rsid w:val="00F40B3C"/>
    <w:rsid w:val="00FA4EA6"/>
    <w:rsid w:val="00FD214A"/>
    <w:rsid w:val="00FE1A5B"/>
    <w:rsid w:val="00FE26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57"/>
    <w:pPr>
      <w:spacing w:after="160" w:line="259" w:lineRule="auto"/>
    </w:pPr>
    <w:rPr>
      <w:kern w:val="0"/>
    </w:rPr>
  </w:style>
  <w:style w:type="paragraph" w:styleId="Heading1">
    <w:name w:val="heading 1"/>
    <w:basedOn w:val="Normal"/>
    <w:next w:val="Normal"/>
    <w:link w:val="Heading1Char"/>
    <w:uiPriority w:val="9"/>
    <w:qFormat/>
    <w:rsid w:val="00A62B5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A62B5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62B5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62B5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62B5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62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B5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A62B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62B5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62B5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62B5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62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B57"/>
    <w:rPr>
      <w:rFonts w:eastAsiaTheme="majorEastAsia" w:cstheme="majorBidi"/>
      <w:color w:val="272727" w:themeColor="text1" w:themeTint="D8"/>
    </w:rPr>
  </w:style>
  <w:style w:type="paragraph" w:styleId="Title">
    <w:name w:val="Title"/>
    <w:basedOn w:val="Normal"/>
    <w:next w:val="Normal"/>
    <w:link w:val="TitleChar"/>
    <w:uiPriority w:val="10"/>
    <w:qFormat/>
    <w:rsid w:val="00A62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B57"/>
    <w:pPr>
      <w:spacing w:before="160"/>
      <w:jc w:val="center"/>
    </w:pPr>
    <w:rPr>
      <w:i/>
      <w:iCs/>
      <w:color w:val="404040" w:themeColor="text1" w:themeTint="BF"/>
    </w:rPr>
  </w:style>
  <w:style w:type="character" w:customStyle="1" w:styleId="QuoteChar">
    <w:name w:val="Quote Char"/>
    <w:basedOn w:val="DefaultParagraphFont"/>
    <w:link w:val="Quote"/>
    <w:uiPriority w:val="29"/>
    <w:rsid w:val="00A62B57"/>
    <w:rPr>
      <w:i/>
      <w:iCs/>
      <w:color w:val="404040" w:themeColor="text1" w:themeTint="BF"/>
    </w:rPr>
  </w:style>
  <w:style w:type="paragraph" w:styleId="ListParagraph">
    <w:name w:val="List Paragraph"/>
    <w:aliases w:val="References,Paragraphe de liste1,List Paragraph1,Paragraph,Header 2,Head1.1,Liste couleur - Accent 11,Liste couleur - Accent 111,Paragraphe de liste3,List Paragraph2,Bullets,List Paragraph nowy,Numbered List Paragraph,titre_kely,lp1"/>
    <w:basedOn w:val="Normal"/>
    <w:link w:val="ListParagraphChar"/>
    <w:uiPriority w:val="34"/>
    <w:qFormat/>
    <w:rsid w:val="00A62B57"/>
    <w:pPr>
      <w:ind w:left="720"/>
      <w:contextualSpacing/>
    </w:pPr>
  </w:style>
  <w:style w:type="character" w:styleId="IntenseEmphasis">
    <w:name w:val="Intense Emphasis"/>
    <w:basedOn w:val="DefaultParagraphFont"/>
    <w:uiPriority w:val="21"/>
    <w:qFormat/>
    <w:rsid w:val="00A62B57"/>
    <w:rPr>
      <w:i/>
      <w:iCs/>
      <w:color w:val="365F91" w:themeColor="accent1" w:themeShade="BF"/>
    </w:rPr>
  </w:style>
  <w:style w:type="paragraph" w:styleId="IntenseQuote">
    <w:name w:val="Intense Quote"/>
    <w:basedOn w:val="Normal"/>
    <w:next w:val="Normal"/>
    <w:link w:val="IntenseQuoteChar"/>
    <w:uiPriority w:val="30"/>
    <w:qFormat/>
    <w:rsid w:val="00A62B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62B57"/>
    <w:rPr>
      <w:i/>
      <w:iCs/>
      <w:color w:val="365F91" w:themeColor="accent1" w:themeShade="BF"/>
    </w:rPr>
  </w:style>
  <w:style w:type="character" w:styleId="IntenseReference">
    <w:name w:val="Intense Reference"/>
    <w:basedOn w:val="DefaultParagraphFont"/>
    <w:uiPriority w:val="32"/>
    <w:qFormat/>
    <w:rsid w:val="00A62B57"/>
    <w:rPr>
      <w:b/>
      <w:bCs/>
      <w:smallCaps/>
      <w:color w:val="365F91" w:themeColor="accent1" w:themeShade="BF"/>
      <w:spacing w:val="5"/>
    </w:rPr>
  </w:style>
  <w:style w:type="paragraph" w:styleId="NormalWeb">
    <w:name w:val="Normal (Web)"/>
    <w:basedOn w:val="Normal"/>
    <w:uiPriority w:val="99"/>
    <w:semiHidden/>
    <w:unhideWhenUsed/>
    <w:rsid w:val="001354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5473"/>
    <w:rPr>
      <w:color w:val="0000FF"/>
      <w:u w:val="single"/>
    </w:rPr>
  </w:style>
  <w:style w:type="character" w:styleId="CommentReference">
    <w:name w:val="annotation reference"/>
    <w:basedOn w:val="DefaultParagraphFont"/>
    <w:uiPriority w:val="99"/>
    <w:semiHidden/>
    <w:unhideWhenUsed/>
    <w:rsid w:val="005B59E8"/>
    <w:rPr>
      <w:sz w:val="16"/>
      <w:szCs w:val="16"/>
    </w:rPr>
  </w:style>
  <w:style w:type="paragraph" w:styleId="CommentText">
    <w:name w:val="annotation text"/>
    <w:basedOn w:val="Normal"/>
    <w:link w:val="CommentTextChar"/>
    <w:uiPriority w:val="99"/>
    <w:semiHidden/>
    <w:unhideWhenUsed/>
    <w:rsid w:val="005B59E8"/>
    <w:pPr>
      <w:spacing w:line="240" w:lineRule="auto"/>
    </w:pPr>
    <w:rPr>
      <w:sz w:val="20"/>
      <w:szCs w:val="20"/>
    </w:rPr>
  </w:style>
  <w:style w:type="character" w:customStyle="1" w:styleId="CommentTextChar">
    <w:name w:val="Comment Text Char"/>
    <w:basedOn w:val="DefaultParagraphFont"/>
    <w:link w:val="CommentText"/>
    <w:uiPriority w:val="99"/>
    <w:semiHidden/>
    <w:rsid w:val="005B59E8"/>
    <w:rPr>
      <w:kern w:val="0"/>
      <w:sz w:val="20"/>
      <w:szCs w:val="20"/>
    </w:rPr>
  </w:style>
  <w:style w:type="paragraph" w:styleId="CommentSubject">
    <w:name w:val="annotation subject"/>
    <w:basedOn w:val="CommentText"/>
    <w:next w:val="CommentText"/>
    <w:link w:val="CommentSubjectChar"/>
    <w:uiPriority w:val="99"/>
    <w:semiHidden/>
    <w:unhideWhenUsed/>
    <w:rsid w:val="005B59E8"/>
    <w:rPr>
      <w:b/>
      <w:bCs/>
    </w:rPr>
  </w:style>
  <w:style w:type="character" w:customStyle="1" w:styleId="CommentSubjectChar">
    <w:name w:val="Comment Subject Char"/>
    <w:basedOn w:val="CommentTextChar"/>
    <w:link w:val="CommentSubject"/>
    <w:uiPriority w:val="99"/>
    <w:semiHidden/>
    <w:rsid w:val="005B59E8"/>
    <w:rPr>
      <w:b/>
      <w:bCs/>
      <w:kern w:val="0"/>
      <w:sz w:val="20"/>
      <w:szCs w:val="20"/>
    </w:rPr>
  </w:style>
  <w:style w:type="paragraph" w:styleId="BalloonText">
    <w:name w:val="Balloon Text"/>
    <w:basedOn w:val="Normal"/>
    <w:link w:val="BalloonTextChar"/>
    <w:uiPriority w:val="99"/>
    <w:semiHidden/>
    <w:unhideWhenUsed/>
    <w:rsid w:val="005B5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E8"/>
    <w:rPr>
      <w:rFonts w:ascii="Tahoma" w:hAnsi="Tahoma" w:cs="Tahoma"/>
      <w:kern w:val="0"/>
      <w:sz w:val="16"/>
      <w:szCs w:val="16"/>
    </w:rPr>
  </w:style>
  <w:style w:type="character" w:customStyle="1" w:styleId="ListParagraphChar">
    <w:name w:val="List Paragraph Char"/>
    <w:aliases w:val="References Char,Paragraphe de liste1 Char,List Paragraph1 Char,Paragraph Char,Header 2 Char,Head1.1 Char,Liste couleur - Accent 11 Char,Liste couleur - Accent 111 Char,Paragraphe de liste3 Char,List Paragraph2 Char,Bullets Char"/>
    <w:link w:val="ListParagraph"/>
    <w:uiPriority w:val="34"/>
    <w:qFormat/>
    <w:locked/>
    <w:rsid w:val="00F207B6"/>
    <w:rPr>
      <w:kern w:val="0"/>
    </w:rPr>
  </w:style>
  <w:style w:type="paragraph" w:styleId="Revision">
    <w:name w:val="Revision"/>
    <w:hidden/>
    <w:uiPriority w:val="99"/>
    <w:semiHidden/>
    <w:rsid w:val="00C54147"/>
    <w:pPr>
      <w:spacing w:after="0" w:line="240" w:lineRule="auto"/>
    </w:pPr>
    <w:rPr>
      <w:kern w:val="0"/>
    </w:rPr>
  </w:style>
  <w:style w:type="paragraph" w:styleId="Header">
    <w:name w:val="header"/>
    <w:basedOn w:val="Normal"/>
    <w:link w:val="HeaderChar"/>
    <w:uiPriority w:val="99"/>
    <w:unhideWhenUsed/>
    <w:rsid w:val="00CD6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8B"/>
    <w:rPr>
      <w:kern w:val="0"/>
    </w:rPr>
  </w:style>
  <w:style w:type="paragraph" w:styleId="Footer">
    <w:name w:val="footer"/>
    <w:basedOn w:val="Normal"/>
    <w:link w:val="FooterChar"/>
    <w:uiPriority w:val="99"/>
    <w:unhideWhenUsed/>
    <w:rsid w:val="00CD6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8B"/>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2966">
      <w:bodyDiv w:val="1"/>
      <w:marLeft w:val="0"/>
      <w:marRight w:val="0"/>
      <w:marTop w:val="0"/>
      <w:marBottom w:val="0"/>
      <w:divBdr>
        <w:top w:val="none" w:sz="0" w:space="0" w:color="auto"/>
        <w:left w:val="none" w:sz="0" w:space="0" w:color="auto"/>
        <w:bottom w:val="none" w:sz="0" w:space="0" w:color="auto"/>
        <w:right w:val="none" w:sz="0" w:space="0" w:color="auto"/>
      </w:divBdr>
    </w:div>
    <w:div w:id="668171737">
      <w:bodyDiv w:val="1"/>
      <w:marLeft w:val="0"/>
      <w:marRight w:val="0"/>
      <w:marTop w:val="0"/>
      <w:marBottom w:val="0"/>
      <w:divBdr>
        <w:top w:val="none" w:sz="0" w:space="0" w:color="auto"/>
        <w:left w:val="none" w:sz="0" w:space="0" w:color="auto"/>
        <w:bottom w:val="none" w:sz="0" w:space="0" w:color="auto"/>
        <w:right w:val="none" w:sz="0" w:space="0" w:color="auto"/>
      </w:divBdr>
    </w:div>
    <w:div w:id="1012685433">
      <w:bodyDiv w:val="1"/>
      <w:marLeft w:val="0"/>
      <w:marRight w:val="0"/>
      <w:marTop w:val="0"/>
      <w:marBottom w:val="0"/>
      <w:divBdr>
        <w:top w:val="none" w:sz="0" w:space="0" w:color="auto"/>
        <w:left w:val="none" w:sz="0" w:space="0" w:color="auto"/>
        <w:bottom w:val="none" w:sz="0" w:space="0" w:color="auto"/>
        <w:right w:val="none" w:sz="0" w:space="0" w:color="auto"/>
      </w:divBdr>
    </w:div>
    <w:div w:id="12843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F2DF-5AE8-4C75-8CE7-B46F1399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1595</Words>
  <Characters>9095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gloria elisabelle thermidor</dc:creator>
  <cp:lastModifiedBy>Charline</cp:lastModifiedBy>
  <cp:revision>14</cp:revision>
  <cp:lastPrinted>2025-02-26T19:24:00Z</cp:lastPrinted>
  <dcterms:created xsi:type="dcterms:W3CDTF">2025-01-15T15:02:00Z</dcterms:created>
  <dcterms:modified xsi:type="dcterms:W3CDTF">2025-02-26T19:32:00Z</dcterms:modified>
</cp:coreProperties>
</file>