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B89" w:rsidRPr="00FB5375" w:rsidRDefault="00D24B89" w:rsidP="00D24B89">
      <w:pPr>
        <w:jc w:val="both"/>
        <w:rPr>
          <w:highlight w:val="yellow"/>
        </w:rPr>
      </w:pPr>
      <w:r>
        <w:rPr>
          <w:noProof/>
        </w:rPr>
        <w:drawing>
          <wp:anchor distT="0" distB="0" distL="114300" distR="114300" simplePos="0" relativeHeight="251659264" behindDoc="0" locked="0" layoutInCell="1" allowOverlap="1" wp14:anchorId="6BF6FE05" wp14:editId="7D7BFBC0">
            <wp:simplePos x="0" y="0"/>
            <wp:positionH relativeFrom="column">
              <wp:posOffset>2211070</wp:posOffset>
            </wp:positionH>
            <wp:positionV relativeFrom="paragraph">
              <wp:posOffset>-193675</wp:posOffset>
            </wp:positionV>
            <wp:extent cx="1169035" cy="871220"/>
            <wp:effectExtent l="0" t="0" r="0" b="5080"/>
            <wp:wrapSquare wrapText="left"/>
            <wp:docPr id="1" name="Picture 1" descr="http://t2.gstatic.com/images?q=tbn:ANd9GcRJhy8Gj1MAWGeh08iqfbw974678z8clXpPv-9k-Vd31vBqrh2IiZm-HO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RJhy8Gj1MAWGeh08iqfbw974678z8clXpPv-9k-Vd31vBqrh2IiZm-HOr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9035" cy="871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4B89" w:rsidRPr="00947C0D" w:rsidRDefault="00D24B89" w:rsidP="00D24B89">
      <w:pPr>
        <w:jc w:val="both"/>
        <w:rPr>
          <w:lang w:val="fr-FR"/>
        </w:rPr>
      </w:pPr>
    </w:p>
    <w:p w:rsidR="00D24B89" w:rsidRDefault="00D24B89" w:rsidP="00D24B89">
      <w:pPr>
        <w:jc w:val="both"/>
        <w:rPr>
          <w:rStyle w:val="q4iawc"/>
          <w:b/>
          <w:color w:val="000000"/>
          <w:sz w:val="28"/>
          <w:szCs w:val="28"/>
          <w:lang w:val="fr-FR"/>
        </w:rPr>
      </w:pPr>
    </w:p>
    <w:p w:rsidR="00D24B89" w:rsidRDefault="00D24B89" w:rsidP="00D24B89">
      <w:pPr>
        <w:jc w:val="center"/>
        <w:rPr>
          <w:rStyle w:val="q4iawc"/>
          <w:b/>
          <w:color w:val="000000"/>
          <w:sz w:val="28"/>
          <w:szCs w:val="28"/>
          <w:lang w:val="fr-FR"/>
        </w:rPr>
      </w:pPr>
    </w:p>
    <w:p w:rsidR="00D24B89" w:rsidRPr="00947C0D" w:rsidRDefault="00D24B89" w:rsidP="00D24B89">
      <w:pPr>
        <w:jc w:val="center"/>
        <w:rPr>
          <w:b/>
          <w:lang w:val="fr-FR"/>
        </w:rPr>
      </w:pPr>
      <w:r w:rsidRPr="00947C0D">
        <w:rPr>
          <w:b/>
          <w:lang w:val="fr-FR"/>
        </w:rPr>
        <w:t>République d’Haïti</w:t>
      </w:r>
    </w:p>
    <w:p w:rsidR="00D24B89" w:rsidRDefault="00D24B89" w:rsidP="00D24B89">
      <w:pPr>
        <w:jc w:val="both"/>
        <w:rPr>
          <w:rStyle w:val="q4iawc"/>
          <w:b/>
          <w:color w:val="000000"/>
          <w:sz w:val="28"/>
          <w:szCs w:val="28"/>
          <w:lang w:val="fr-FR"/>
        </w:rPr>
      </w:pPr>
    </w:p>
    <w:p w:rsidR="00D24B89" w:rsidRPr="00947C0D" w:rsidRDefault="00D24B89" w:rsidP="00D24B89">
      <w:pPr>
        <w:jc w:val="center"/>
        <w:rPr>
          <w:rStyle w:val="q4iawc"/>
          <w:b/>
          <w:color w:val="000000"/>
          <w:sz w:val="28"/>
          <w:szCs w:val="28"/>
          <w:shd w:val="clear" w:color="auto" w:fill="F5F5F5"/>
          <w:lang w:val="fr-FR"/>
        </w:rPr>
      </w:pPr>
      <w:r w:rsidRPr="00947C0D">
        <w:rPr>
          <w:rStyle w:val="q4iawc"/>
          <w:b/>
          <w:color w:val="000000"/>
          <w:sz w:val="28"/>
          <w:szCs w:val="28"/>
          <w:lang w:val="fr-FR"/>
        </w:rPr>
        <w:t>SOLLICI</w:t>
      </w:r>
      <w:r>
        <w:rPr>
          <w:rStyle w:val="q4iawc"/>
          <w:b/>
          <w:color w:val="000000"/>
          <w:sz w:val="28"/>
          <w:szCs w:val="28"/>
          <w:lang w:val="fr-FR"/>
        </w:rPr>
        <w:t>TATION DES</w:t>
      </w:r>
      <w:r w:rsidRPr="00947C0D">
        <w:rPr>
          <w:rStyle w:val="q4iawc"/>
          <w:b/>
          <w:color w:val="000000"/>
          <w:sz w:val="28"/>
          <w:szCs w:val="28"/>
          <w:lang w:val="fr-FR"/>
        </w:rPr>
        <w:t xml:space="preserve"> MANIFESTATION</w:t>
      </w:r>
      <w:r>
        <w:rPr>
          <w:rStyle w:val="q4iawc"/>
          <w:b/>
          <w:color w:val="000000"/>
          <w:sz w:val="28"/>
          <w:szCs w:val="28"/>
          <w:lang w:val="fr-FR"/>
        </w:rPr>
        <w:t>S</w:t>
      </w:r>
      <w:r w:rsidRPr="00947C0D">
        <w:rPr>
          <w:rStyle w:val="q4iawc"/>
          <w:b/>
          <w:color w:val="000000"/>
          <w:sz w:val="28"/>
          <w:szCs w:val="28"/>
          <w:shd w:val="clear" w:color="auto" w:fill="F5F5F5"/>
          <w:lang w:val="fr-FR"/>
        </w:rPr>
        <w:t xml:space="preserve"> </w:t>
      </w:r>
      <w:r w:rsidRPr="00947C0D">
        <w:rPr>
          <w:rStyle w:val="q4iawc"/>
          <w:b/>
          <w:color w:val="000000"/>
          <w:sz w:val="28"/>
          <w:szCs w:val="28"/>
          <w:lang w:val="fr-FR"/>
        </w:rPr>
        <w:t>D'INTÉRÊT</w:t>
      </w:r>
    </w:p>
    <w:p w:rsidR="00D24B89" w:rsidRPr="00947C0D" w:rsidRDefault="00D24B89" w:rsidP="00D24B89">
      <w:pPr>
        <w:jc w:val="both"/>
        <w:rPr>
          <w:b/>
          <w:sz w:val="28"/>
          <w:szCs w:val="28"/>
          <w:lang w:val="fr-FR"/>
        </w:rPr>
      </w:pPr>
    </w:p>
    <w:p w:rsidR="00D24B89" w:rsidRPr="00947C0D" w:rsidRDefault="00D24B89" w:rsidP="00D24B89">
      <w:pPr>
        <w:jc w:val="both"/>
        <w:rPr>
          <w:b/>
          <w:szCs w:val="24"/>
          <w:lang w:val="fr-FR"/>
        </w:rPr>
      </w:pPr>
      <w:r w:rsidRPr="00947C0D">
        <w:rPr>
          <w:b/>
          <w:szCs w:val="24"/>
          <w:lang w:val="fr-FR"/>
        </w:rPr>
        <w:t xml:space="preserve">Client : </w:t>
      </w:r>
      <w:r w:rsidRPr="00947C0D">
        <w:rPr>
          <w:szCs w:val="24"/>
          <w:lang w:val="fr-FR"/>
        </w:rPr>
        <w:t>Ministère de l’Intérieur et des Collectivités Territoriales (MICT)</w:t>
      </w:r>
    </w:p>
    <w:p w:rsidR="00D24B89" w:rsidRDefault="00D24B89" w:rsidP="00D24B89">
      <w:pPr>
        <w:pStyle w:val="Default"/>
        <w:spacing w:line="276" w:lineRule="auto"/>
        <w:ind w:left="1985" w:hanging="1985"/>
        <w:jc w:val="both"/>
        <w:rPr>
          <w:bCs/>
        </w:rPr>
      </w:pPr>
      <w:r w:rsidRPr="00947C0D">
        <w:rPr>
          <w:b/>
        </w:rPr>
        <w:t xml:space="preserve">Nom du projet : </w:t>
      </w:r>
      <w:r w:rsidRPr="00947C0D">
        <w:rPr>
          <w:bCs/>
        </w:rPr>
        <w:t>Projet de Gestion des Risques et de Résilience aux aléas Climatiques</w:t>
      </w:r>
    </w:p>
    <w:p w:rsidR="00D24B89" w:rsidRPr="00947C0D" w:rsidRDefault="00D24B89" w:rsidP="00D24B89">
      <w:pPr>
        <w:pStyle w:val="Default"/>
        <w:spacing w:line="276" w:lineRule="auto"/>
        <w:ind w:left="1985" w:hanging="1985"/>
        <w:jc w:val="both"/>
        <w:rPr>
          <w:bCs/>
        </w:rPr>
      </w:pPr>
      <w:r w:rsidRPr="00947C0D">
        <w:rPr>
          <w:bCs/>
        </w:rPr>
        <w:t>(PGRAC)</w:t>
      </w:r>
    </w:p>
    <w:p w:rsidR="00D24B89" w:rsidRDefault="00D24B89" w:rsidP="00D24B89">
      <w:pPr>
        <w:tabs>
          <w:tab w:val="left" w:pos="720"/>
          <w:tab w:val="right" w:leader="dot" w:pos="8640"/>
        </w:tabs>
        <w:jc w:val="both"/>
        <w:rPr>
          <w:lang w:val="fr-FR"/>
        </w:rPr>
      </w:pPr>
      <w:r w:rsidRPr="00D417D6">
        <w:rPr>
          <w:b/>
          <w:szCs w:val="24"/>
          <w:lang w:val="fr-FR"/>
        </w:rPr>
        <w:t>Désignation de la Mission</w:t>
      </w:r>
      <w:r w:rsidRPr="00947C0D">
        <w:rPr>
          <w:b/>
          <w:szCs w:val="24"/>
          <w:lang w:val="fr-FR"/>
        </w:rPr>
        <w:t> :</w:t>
      </w:r>
      <w:r w:rsidRPr="00947C0D">
        <w:rPr>
          <w:szCs w:val="24"/>
          <w:lang w:val="fr-FR"/>
        </w:rPr>
        <w:t xml:space="preserve"> </w:t>
      </w:r>
      <w:r w:rsidRPr="00D417D6">
        <w:rPr>
          <w:szCs w:val="24"/>
          <w:lang w:val="fr-FR"/>
        </w:rPr>
        <w:t xml:space="preserve">Termes de </w:t>
      </w:r>
      <w:r w:rsidRPr="003B56E6">
        <w:rPr>
          <w:szCs w:val="24"/>
          <w:lang w:val="fr-FR"/>
        </w:rPr>
        <w:t>référence</w:t>
      </w:r>
      <w:r w:rsidRPr="00D417D6">
        <w:rPr>
          <w:szCs w:val="24"/>
          <w:lang w:val="fr-FR"/>
        </w:rPr>
        <w:t xml:space="preserve"> pour </w:t>
      </w:r>
      <w:bookmarkStart w:id="0" w:name="OLE_LINK2"/>
      <w:bookmarkStart w:id="1" w:name="OLE_LINK3"/>
      <w:r w:rsidRPr="00D417D6">
        <w:rPr>
          <w:szCs w:val="24"/>
          <w:lang w:val="fr-FR"/>
        </w:rPr>
        <w:t xml:space="preserve">l’audit technique </w:t>
      </w:r>
      <w:bookmarkEnd w:id="0"/>
      <w:bookmarkEnd w:id="1"/>
      <w:r>
        <w:rPr>
          <w:lang w:val="fr-FR"/>
        </w:rPr>
        <w:t>d</w:t>
      </w:r>
      <w:r w:rsidRPr="00D417D6">
        <w:rPr>
          <w:lang w:val="fr-FR"/>
        </w:rPr>
        <w:t>es travaux et services</w:t>
      </w:r>
      <w:r w:rsidRPr="002D130E">
        <w:rPr>
          <w:b/>
          <w:bCs/>
          <w:lang w:val="fr-FR"/>
        </w:rPr>
        <w:t xml:space="preserve"> </w:t>
      </w:r>
      <w:r w:rsidRPr="00D417D6">
        <w:rPr>
          <w:szCs w:val="24"/>
          <w:lang w:val="fr-FR"/>
        </w:rPr>
        <w:t>dans le cadre de la mission de MDOD du PGRAC</w:t>
      </w:r>
      <w:r w:rsidRPr="008F7998" w:rsidDel="00214196">
        <w:rPr>
          <w:lang w:val="fr-FR"/>
        </w:rPr>
        <w:t xml:space="preserve"> </w:t>
      </w:r>
    </w:p>
    <w:p w:rsidR="00D24B89" w:rsidRPr="00D417D6" w:rsidRDefault="00D24B89" w:rsidP="00D24B89">
      <w:pPr>
        <w:tabs>
          <w:tab w:val="left" w:pos="720"/>
          <w:tab w:val="right" w:leader="dot" w:pos="8640"/>
        </w:tabs>
        <w:jc w:val="both"/>
        <w:rPr>
          <w:szCs w:val="24"/>
          <w:lang w:val="fr-FR"/>
        </w:rPr>
      </w:pPr>
      <w:r w:rsidRPr="00D417D6">
        <w:rPr>
          <w:b/>
          <w:szCs w:val="24"/>
          <w:lang w:val="fr-FR"/>
        </w:rPr>
        <w:t>N</w:t>
      </w:r>
      <w:r w:rsidRPr="00D417D6">
        <w:rPr>
          <w:b/>
          <w:szCs w:val="24"/>
          <w:vertAlign w:val="superscript"/>
          <w:lang w:val="fr-FR"/>
        </w:rPr>
        <w:t>O</w:t>
      </w:r>
      <w:r w:rsidRPr="00D417D6">
        <w:rPr>
          <w:b/>
          <w:szCs w:val="24"/>
          <w:lang w:val="fr-FR"/>
        </w:rPr>
        <w:t xml:space="preserve"> Don:</w:t>
      </w:r>
      <w:r w:rsidRPr="00D417D6">
        <w:rPr>
          <w:szCs w:val="24"/>
          <w:lang w:val="fr-FR"/>
        </w:rPr>
        <w:t xml:space="preserve"> </w:t>
      </w:r>
      <w:r w:rsidRPr="00D417D6">
        <w:rPr>
          <w:lang w:val="fr-FR"/>
        </w:rPr>
        <w:t>IDA-E0450</w:t>
      </w:r>
    </w:p>
    <w:p w:rsidR="00D24B89" w:rsidRPr="00D417D6" w:rsidRDefault="00D24B89" w:rsidP="00D24B89">
      <w:pPr>
        <w:pStyle w:val="BodyText"/>
        <w:jc w:val="both"/>
        <w:rPr>
          <w:rFonts w:ascii="Times New Roman" w:hAnsi="Times New Roman"/>
          <w:szCs w:val="24"/>
          <w:lang w:val="fr-FR"/>
        </w:rPr>
      </w:pPr>
      <w:r w:rsidRPr="00D417D6">
        <w:rPr>
          <w:rFonts w:ascii="Times New Roman" w:hAnsi="Times New Roman"/>
          <w:b/>
          <w:szCs w:val="24"/>
          <w:lang w:val="fr-FR"/>
        </w:rPr>
        <w:t>N</w:t>
      </w:r>
      <w:r w:rsidRPr="00D417D6">
        <w:rPr>
          <w:rFonts w:ascii="Times New Roman" w:hAnsi="Times New Roman"/>
          <w:b/>
          <w:szCs w:val="24"/>
          <w:vertAlign w:val="superscript"/>
          <w:lang w:val="fr-FR"/>
        </w:rPr>
        <w:t>O</w:t>
      </w:r>
      <w:r w:rsidRPr="00D417D6">
        <w:rPr>
          <w:rFonts w:ascii="Times New Roman" w:hAnsi="Times New Roman"/>
          <w:b/>
          <w:szCs w:val="24"/>
          <w:lang w:val="fr-FR"/>
        </w:rPr>
        <w:t xml:space="preserve"> de référence :</w:t>
      </w:r>
      <w:r w:rsidRPr="00D417D6">
        <w:rPr>
          <w:rFonts w:ascii="Times New Roman" w:hAnsi="Times New Roman"/>
          <w:szCs w:val="24"/>
          <w:lang w:val="fr-FR"/>
        </w:rPr>
        <w:t xml:space="preserve"> </w:t>
      </w:r>
      <w:r w:rsidRPr="003F4C0A">
        <w:rPr>
          <w:rFonts w:ascii="Times New Roman" w:hAnsi="Times New Roman"/>
          <w:szCs w:val="24"/>
          <w:lang w:val="fr-FR"/>
        </w:rPr>
        <w:t>HT-UCP/MICT-110373-CS-INDV</w:t>
      </w:r>
    </w:p>
    <w:p w:rsidR="00D24B89" w:rsidRPr="00947C0D" w:rsidRDefault="00D24B89" w:rsidP="00D24B89">
      <w:pPr>
        <w:pStyle w:val="BodyText"/>
        <w:jc w:val="both"/>
        <w:rPr>
          <w:rFonts w:ascii="Times New Roman" w:hAnsi="Times New Roman"/>
          <w:szCs w:val="24"/>
          <w:lang w:val="fr-FR"/>
        </w:rPr>
      </w:pPr>
      <w:r w:rsidRPr="00947C0D">
        <w:rPr>
          <w:rFonts w:ascii="Times New Roman" w:hAnsi="Times New Roman"/>
          <w:szCs w:val="24"/>
          <w:lang w:val="fr-FR"/>
        </w:rPr>
        <w:t>_________________________________________________________________________</w:t>
      </w:r>
    </w:p>
    <w:p w:rsidR="00D24B89" w:rsidRPr="00947C0D" w:rsidRDefault="00D24B89" w:rsidP="00D24B89">
      <w:pPr>
        <w:jc w:val="both"/>
        <w:rPr>
          <w:szCs w:val="24"/>
          <w:lang w:val="fr-FR"/>
        </w:rPr>
      </w:pPr>
    </w:p>
    <w:p w:rsidR="00D24B89" w:rsidRPr="00516AAB" w:rsidRDefault="00D24B89" w:rsidP="00D24B89">
      <w:pPr>
        <w:pStyle w:val="Default"/>
        <w:spacing w:line="276" w:lineRule="auto"/>
        <w:jc w:val="both"/>
      </w:pPr>
      <w:r w:rsidRPr="00516AAB">
        <w:rPr>
          <w:color w:val="auto"/>
          <w:lang w:eastAsia="en-US"/>
        </w:rPr>
        <w:t>Le Ministère de l’Intérieur et des Collectivités Territoriales (MICT) a reçu un financement de la banque Mondiale pour la mise en œuvre du Projet de Gestion des Risques et de Résilience aux aléas Climatiques</w:t>
      </w:r>
      <w:r>
        <w:rPr>
          <w:color w:val="auto"/>
          <w:lang w:eastAsia="en-US"/>
        </w:rPr>
        <w:t xml:space="preserve"> </w:t>
      </w:r>
      <w:r w:rsidRPr="00516AAB">
        <w:t xml:space="preserve">(PGRAC), et a l’intention d’utiliser une partie du montant de ce don pour effectuer les paiements au titre du contrat dans le cadre du recrutement d’un </w:t>
      </w:r>
      <w:r>
        <w:t xml:space="preserve">consultant individuel </w:t>
      </w:r>
      <w:r w:rsidRPr="00D417D6">
        <w:t xml:space="preserve">l’audit technique </w:t>
      </w:r>
      <w:r>
        <w:t>d</w:t>
      </w:r>
      <w:r w:rsidRPr="00D417D6">
        <w:t>es travaux et services</w:t>
      </w:r>
      <w:r w:rsidRPr="002D130E">
        <w:rPr>
          <w:b/>
          <w:bCs/>
        </w:rPr>
        <w:t xml:space="preserve"> </w:t>
      </w:r>
      <w:r>
        <w:rPr>
          <w:b/>
          <w:bCs/>
        </w:rPr>
        <w:t xml:space="preserve">e </w:t>
      </w:r>
      <w:r w:rsidRPr="00516AAB">
        <w:t>reconstruction des petites infrastructures routières menant aux havres sécurisés, la Construction/ reconstruction/réhabilitation de havres sécurisés, la supervision de l'exécution</w:t>
      </w:r>
      <w:r w:rsidRPr="00D417D6">
        <w:t xml:space="preserve"> dans le cadre de la mission de</w:t>
      </w:r>
      <w:r>
        <w:t>s</w:t>
      </w:r>
      <w:r w:rsidRPr="00D417D6">
        <w:t xml:space="preserve"> </w:t>
      </w:r>
      <w:proofErr w:type="spellStart"/>
      <w:r w:rsidRPr="00D417D6">
        <w:t>MDOD</w:t>
      </w:r>
      <w:r>
        <w:t>s</w:t>
      </w:r>
      <w:proofErr w:type="spellEnd"/>
      <w:r w:rsidRPr="00D417D6">
        <w:t xml:space="preserve"> du PGRAC</w:t>
      </w:r>
      <w:r w:rsidRPr="00516AAB" w:rsidDel="00516AAB">
        <w:t xml:space="preserve"> </w:t>
      </w:r>
      <w:r w:rsidRPr="00516AAB">
        <w:t>.</w:t>
      </w:r>
    </w:p>
    <w:p w:rsidR="00D24B89" w:rsidRPr="00947C0D" w:rsidRDefault="00D24B89" w:rsidP="00D24B89">
      <w:pPr>
        <w:jc w:val="both"/>
        <w:rPr>
          <w:szCs w:val="24"/>
          <w:lang w:val="fr-FR"/>
        </w:rPr>
      </w:pPr>
    </w:p>
    <w:p w:rsidR="00D24B89" w:rsidRPr="00D417D6" w:rsidRDefault="00D24B89" w:rsidP="00D24B89">
      <w:pPr>
        <w:tabs>
          <w:tab w:val="left" w:pos="204"/>
        </w:tabs>
        <w:jc w:val="both"/>
        <w:rPr>
          <w:lang w:val="fr-FR"/>
        </w:rPr>
      </w:pPr>
      <w:r w:rsidRPr="00947C0D">
        <w:rPr>
          <w:szCs w:val="24"/>
          <w:lang w:val="fr-FR"/>
        </w:rPr>
        <w:t>Les services de consultant (« Services ») comprennent</w:t>
      </w:r>
      <w:r>
        <w:rPr>
          <w:szCs w:val="24"/>
          <w:lang w:val="fr-FR"/>
        </w:rPr>
        <w:t>, entre autres</w:t>
      </w:r>
      <w:r w:rsidRPr="00947C0D">
        <w:rPr>
          <w:szCs w:val="24"/>
          <w:lang w:val="fr-FR"/>
        </w:rPr>
        <w:t xml:space="preserve"> :</w:t>
      </w:r>
      <w:r>
        <w:rPr>
          <w:szCs w:val="24"/>
          <w:lang w:val="fr-FR"/>
        </w:rPr>
        <w:t xml:space="preserve"> </w:t>
      </w:r>
      <w:r>
        <w:rPr>
          <w:lang w:val="fr-FR"/>
        </w:rPr>
        <w:t xml:space="preserve">i) </w:t>
      </w:r>
      <w:r w:rsidRPr="00D417D6">
        <w:rPr>
          <w:lang w:val="fr-FR"/>
        </w:rPr>
        <w:t>émettre une opinion sur la régularité des diverses procédures appliquées par la Maîtrise d’Ouvrage Déléguée (MDOD), en rapport avec les termes de son contrat ainsi que d'évaluer la qualité des travaux et des biens et services dont le MDOD est en charge</w:t>
      </w:r>
      <w:r>
        <w:rPr>
          <w:lang w:val="fr-FR"/>
        </w:rPr>
        <w:t xml:space="preserve">, (ii) </w:t>
      </w:r>
      <w:r w:rsidRPr="00D417D6">
        <w:rPr>
          <w:lang w:val="fr-FR"/>
        </w:rPr>
        <w:t xml:space="preserve">vérifier que les investissements sont mis en place conformément à l’accord de crédit et au manuel de procédures, et  </w:t>
      </w:r>
      <w:r>
        <w:rPr>
          <w:lang w:val="fr-FR"/>
        </w:rPr>
        <w:t xml:space="preserve">(iii) </w:t>
      </w:r>
      <w:r w:rsidRPr="00D417D6">
        <w:rPr>
          <w:lang w:val="fr-FR"/>
        </w:rPr>
        <w:t>se former une opinion sur l’efficacité, l’économie et la transparence de la mise en œuvre du programme.</w:t>
      </w:r>
    </w:p>
    <w:p w:rsidR="00D24B89" w:rsidRDefault="00D24B89" w:rsidP="00D24B89">
      <w:pPr>
        <w:jc w:val="both"/>
        <w:rPr>
          <w:szCs w:val="24"/>
          <w:lang w:val="fr-FR"/>
        </w:rPr>
      </w:pPr>
    </w:p>
    <w:p w:rsidR="00D24B89" w:rsidRDefault="00D24B89" w:rsidP="00D24B89">
      <w:pPr>
        <w:jc w:val="both"/>
        <w:rPr>
          <w:szCs w:val="24"/>
          <w:lang w:val="fr-FR"/>
        </w:rPr>
      </w:pPr>
      <w:r>
        <w:rPr>
          <w:szCs w:val="24"/>
          <w:lang w:val="fr-FR"/>
        </w:rPr>
        <w:t xml:space="preserve">De plus amples informations peuvent être obtenues dans les termes de référence liées à cet AMI. </w:t>
      </w:r>
    </w:p>
    <w:p w:rsidR="00D24B89" w:rsidRDefault="00D24B89" w:rsidP="00D24B89">
      <w:pPr>
        <w:jc w:val="both"/>
        <w:rPr>
          <w:szCs w:val="24"/>
          <w:lang w:val="fr-FR"/>
        </w:rPr>
      </w:pPr>
    </w:p>
    <w:p w:rsidR="00D24B89" w:rsidRDefault="00D24B89" w:rsidP="00D24B89">
      <w:pPr>
        <w:jc w:val="both"/>
        <w:rPr>
          <w:szCs w:val="24"/>
          <w:lang w:val="fr-FR"/>
        </w:rPr>
      </w:pPr>
      <w:r w:rsidRPr="00D25AB9">
        <w:rPr>
          <w:szCs w:val="24"/>
          <w:lang w:val="fr-FR"/>
        </w:rPr>
        <w:t xml:space="preserve">Les termes de référence pour la mission peuvent être obtenus après une demande écrite à l'adresse suivante : </w:t>
      </w:r>
      <w:hyperlink r:id="rId7" w:history="1">
        <w:r w:rsidRPr="0075287C">
          <w:rPr>
            <w:rStyle w:val="Hyperlink"/>
            <w:szCs w:val="24"/>
            <w:lang w:val="fr-FR"/>
          </w:rPr>
          <w:t>passationdemarches.ucpmict@gmail.com</w:t>
        </w:r>
      </w:hyperlink>
      <w:r>
        <w:rPr>
          <w:szCs w:val="24"/>
          <w:lang w:val="fr-FR"/>
        </w:rPr>
        <w:t>.</w:t>
      </w:r>
    </w:p>
    <w:p w:rsidR="00D24B89" w:rsidRPr="00D25AB9" w:rsidRDefault="00D24B89" w:rsidP="00D24B89">
      <w:pPr>
        <w:jc w:val="both"/>
        <w:rPr>
          <w:i/>
          <w:szCs w:val="24"/>
          <w:lang w:val="fr-FR"/>
        </w:rPr>
      </w:pPr>
    </w:p>
    <w:p w:rsidR="00D24B89" w:rsidRDefault="00D24B89" w:rsidP="00D24B89">
      <w:pPr>
        <w:jc w:val="both"/>
        <w:rPr>
          <w:szCs w:val="24"/>
          <w:lang w:val="fr-FR"/>
        </w:rPr>
      </w:pPr>
      <w:r w:rsidRPr="00947C0D">
        <w:rPr>
          <w:szCs w:val="24"/>
          <w:lang w:val="fr-FR"/>
        </w:rPr>
        <w:t>Le Ministère de l’Intérieur et des Collectivités Territoriales (MICT) invite les « Consultants </w:t>
      </w:r>
      <w:r>
        <w:rPr>
          <w:szCs w:val="24"/>
          <w:lang w:val="fr-FR"/>
        </w:rPr>
        <w:t>individuels</w:t>
      </w:r>
      <w:r w:rsidRPr="00947C0D">
        <w:rPr>
          <w:szCs w:val="24"/>
          <w:lang w:val="fr-FR"/>
        </w:rPr>
        <w:t xml:space="preserve">» admissibles à manifester leur intérêt à fournir les services décrits ci-dessus. Les Consultants intéressés doivent fournir les informations démontrant qu’ils possèdent les qualifications requises et une expérience pertinente </w:t>
      </w:r>
      <w:r>
        <w:rPr>
          <w:szCs w:val="24"/>
          <w:lang w:val="fr-FR"/>
        </w:rPr>
        <w:t xml:space="preserve">dans un domaine </w:t>
      </w:r>
      <w:r>
        <w:rPr>
          <w:szCs w:val="24"/>
          <w:lang w:val="fr-FR"/>
        </w:rPr>
        <w:lastRenderedPageBreak/>
        <w:t xml:space="preserve">similaire ou connexe </w:t>
      </w:r>
      <w:r w:rsidRPr="00947C0D">
        <w:rPr>
          <w:szCs w:val="24"/>
          <w:lang w:val="fr-FR"/>
        </w:rPr>
        <w:t xml:space="preserve">pour l’exécution des Services. Les critères pour l’établissement de la liste restreinte sont : </w:t>
      </w:r>
    </w:p>
    <w:p w:rsidR="00D24B89" w:rsidRDefault="00D24B89" w:rsidP="00D24B89">
      <w:pPr>
        <w:jc w:val="both"/>
        <w:rPr>
          <w:szCs w:val="24"/>
          <w:lang w:val="fr-FR"/>
        </w:rPr>
      </w:pPr>
    </w:p>
    <w:p w:rsidR="00D24B89" w:rsidRDefault="00D24B89" w:rsidP="00D24B89">
      <w:pPr>
        <w:pStyle w:val="TxBrp10"/>
        <w:numPr>
          <w:ilvl w:val="0"/>
          <w:numId w:val="1"/>
        </w:numPr>
        <w:spacing w:line="226" w:lineRule="exact"/>
        <w:rPr>
          <w:sz w:val="24"/>
          <w:szCs w:val="24"/>
          <w:lang w:val="fr-FR"/>
        </w:rPr>
      </w:pPr>
      <w:r>
        <w:rPr>
          <w:sz w:val="24"/>
          <w:szCs w:val="24"/>
          <w:lang w:val="fr-FR"/>
        </w:rPr>
        <w:t>Avoir au moins une License en génie civil, architecture, ou autre domaine de la construction</w:t>
      </w:r>
    </w:p>
    <w:p w:rsidR="00D24B89" w:rsidRDefault="00D24B89" w:rsidP="00D24B89">
      <w:pPr>
        <w:pStyle w:val="TxBrp10"/>
        <w:numPr>
          <w:ilvl w:val="0"/>
          <w:numId w:val="1"/>
        </w:numPr>
        <w:spacing w:line="226" w:lineRule="exact"/>
        <w:rPr>
          <w:sz w:val="24"/>
          <w:szCs w:val="24"/>
          <w:lang w:val="fr-FR"/>
        </w:rPr>
      </w:pPr>
      <w:r>
        <w:rPr>
          <w:sz w:val="24"/>
          <w:szCs w:val="24"/>
          <w:lang w:val="fr-FR"/>
        </w:rPr>
        <w:t>Prouver des</w:t>
      </w:r>
      <w:r w:rsidRPr="002D130E">
        <w:rPr>
          <w:sz w:val="24"/>
          <w:szCs w:val="24"/>
          <w:lang w:val="fr-FR"/>
        </w:rPr>
        <w:t xml:space="preserve"> expérience</w:t>
      </w:r>
      <w:r>
        <w:rPr>
          <w:sz w:val="24"/>
          <w:szCs w:val="24"/>
          <w:lang w:val="fr-FR"/>
        </w:rPr>
        <w:t>s</w:t>
      </w:r>
      <w:r w:rsidRPr="002D130E">
        <w:rPr>
          <w:sz w:val="24"/>
          <w:szCs w:val="24"/>
          <w:lang w:val="fr-FR"/>
        </w:rPr>
        <w:t xml:space="preserve"> d’au moins dix (10) ans dans le domaine de la construction et/ou du génie civil</w:t>
      </w:r>
      <w:r>
        <w:rPr>
          <w:sz w:val="24"/>
          <w:szCs w:val="24"/>
          <w:lang w:val="fr-FR"/>
        </w:rPr>
        <w:t xml:space="preserve">, </w:t>
      </w:r>
    </w:p>
    <w:p w:rsidR="00D24B89" w:rsidRDefault="00D24B89" w:rsidP="00D24B89">
      <w:pPr>
        <w:pStyle w:val="TxBrp10"/>
        <w:numPr>
          <w:ilvl w:val="0"/>
          <w:numId w:val="1"/>
        </w:numPr>
        <w:spacing w:line="226" w:lineRule="exact"/>
        <w:rPr>
          <w:sz w:val="24"/>
          <w:szCs w:val="24"/>
          <w:lang w:val="fr-FR"/>
        </w:rPr>
      </w:pPr>
      <w:r>
        <w:rPr>
          <w:sz w:val="24"/>
          <w:szCs w:val="24"/>
          <w:lang w:val="fr-FR"/>
        </w:rPr>
        <w:t xml:space="preserve">Démontrer </w:t>
      </w:r>
      <w:r w:rsidRPr="00E05FA2">
        <w:rPr>
          <w:sz w:val="24"/>
          <w:szCs w:val="24"/>
          <w:lang w:val="fr-FR"/>
        </w:rPr>
        <w:t xml:space="preserve">une bonne connaissance </w:t>
      </w:r>
      <w:r>
        <w:rPr>
          <w:sz w:val="24"/>
          <w:szCs w:val="24"/>
          <w:lang w:val="fr-FR"/>
        </w:rPr>
        <w:t xml:space="preserve">théoriques et/ou pratiques </w:t>
      </w:r>
      <w:r w:rsidRPr="00E05FA2">
        <w:rPr>
          <w:sz w:val="24"/>
          <w:szCs w:val="24"/>
          <w:lang w:val="fr-FR"/>
        </w:rPr>
        <w:t xml:space="preserve">des </w:t>
      </w:r>
      <w:r w:rsidRPr="00A90329">
        <w:rPr>
          <w:sz w:val="24"/>
          <w:szCs w:val="24"/>
          <w:lang w:val="fr-FR"/>
        </w:rPr>
        <w:t xml:space="preserve">normes internationales parasismiques et para cycloniques reconnues en Haïti, </w:t>
      </w:r>
    </w:p>
    <w:p w:rsidR="00D24B89" w:rsidRDefault="00D24B89" w:rsidP="00D24B89">
      <w:pPr>
        <w:pStyle w:val="TxBrp10"/>
        <w:numPr>
          <w:ilvl w:val="0"/>
          <w:numId w:val="1"/>
        </w:numPr>
        <w:spacing w:line="226" w:lineRule="exact"/>
        <w:rPr>
          <w:sz w:val="24"/>
          <w:szCs w:val="24"/>
          <w:lang w:val="fr-FR"/>
        </w:rPr>
      </w:pPr>
      <w:r>
        <w:rPr>
          <w:sz w:val="24"/>
          <w:szCs w:val="24"/>
          <w:lang w:val="fr-FR"/>
        </w:rPr>
        <w:t>Démontrer une bonne connaissance théorique et/ou pratique des normes de conception d’abris d’urgence</w:t>
      </w:r>
    </w:p>
    <w:p w:rsidR="00D24B89" w:rsidRDefault="00D24B89" w:rsidP="00D24B89">
      <w:pPr>
        <w:pStyle w:val="TxBrp10"/>
        <w:spacing w:line="226" w:lineRule="exact"/>
        <w:rPr>
          <w:sz w:val="24"/>
          <w:szCs w:val="24"/>
          <w:lang w:val="fr-FR"/>
        </w:rPr>
      </w:pPr>
    </w:p>
    <w:p w:rsidR="00D24B89" w:rsidRDefault="00D24B89" w:rsidP="00D24B89">
      <w:pPr>
        <w:pStyle w:val="TxBrp10"/>
        <w:numPr>
          <w:ilvl w:val="0"/>
          <w:numId w:val="1"/>
        </w:numPr>
        <w:spacing w:line="226" w:lineRule="exact"/>
        <w:rPr>
          <w:sz w:val="24"/>
          <w:szCs w:val="24"/>
          <w:lang w:val="fr-FR"/>
        </w:rPr>
      </w:pPr>
      <w:r>
        <w:rPr>
          <w:sz w:val="24"/>
          <w:szCs w:val="24"/>
          <w:lang w:val="fr-FR"/>
        </w:rPr>
        <w:t xml:space="preserve">Prouver des </w:t>
      </w:r>
      <w:r w:rsidRPr="002D130E">
        <w:rPr>
          <w:sz w:val="24"/>
          <w:szCs w:val="24"/>
          <w:lang w:val="fr-FR"/>
        </w:rPr>
        <w:t xml:space="preserve">compétences </w:t>
      </w:r>
      <w:r>
        <w:rPr>
          <w:sz w:val="24"/>
          <w:szCs w:val="24"/>
          <w:lang w:val="fr-FR"/>
        </w:rPr>
        <w:t xml:space="preserve">et/ou des </w:t>
      </w:r>
      <w:r w:rsidRPr="002D130E">
        <w:rPr>
          <w:sz w:val="24"/>
          <w:szCs w:val="24"/>
          <w:lang w:val="fr-FR"/>
        </w:rPr>
        <w:t xml:space="preserve">expertises </w:t>
      </w:r>
      <w:r>
        <w:rPr>
          <w:sz w:val="24"/>
          <w:szCs w:val="24"/>
          <w:lang w:val="fr-FR"/>
        </w:rPr>
        <w:t xml:space="preserve">dans les domaines </w:t>
      </w:r>
      <w:r w:rsidRPr="002D130E">
        <w:rPr>
          <w:sz w:val="24"/>
          <w:szCs w:val="24"/>
          <w:lang w:val="fr-FR"/>
        </w:rPr>
        <w:t>suivants:</w:t>
      </w:r>
      <w:r>
        <w:rPr>
          <w:sz w:val="24"/>
          <w:szCs w:val="24"/>
          <w:lang w:val="fr-FR"/>
        </w:rPr>
        <w:t xml:space="preserve"> </w:t>
      </w:r>
      <w:r w:rsidRPr="002D130E">
        <w:rPr>
          <w:sz w:val="24"/>
          <w:szCs w:val="24"/>
          <w:lang w:val="fr-FR"/>
        </w:rPr>
        <w:t>études, contrôle de travaux, assistance technique au Maître d’Ouvrage, études d’impact environnemental et social, audit technique, audit environnemental, la gestion de projet avec notamment les procédures de passation de marchés.</w:t>
      </w:r>
    </w:p>
    <w:p w:rsidR="00D24B89" w:rsidRPr="00947C0D" w:rsidRDefault="00D24B89" w:rsidP="00D24B89">
      <w:pPr>
        <w:jc w:val="both"/>
        <w:rPr>
          <w:szCs w:val="24"/>
          <w:lang w:val="fr-FR"/>
        </w:rPr>
      </w:pPr>
    </w:p>
    <w:p w:rsidR="00D24B89" w:rsidRPr="00947C0D" w:rsidRDefault="00D24B89" w:rsidP="00D24B89">
      <w:pPr>
        <w:jc w:val="both"/>
        <w:rPr>
          <w:szCs w:val="24"/>
          <w:lang w:val="fr-FR"/>
        </w:rPr>
      </w:pPr>
    </w:p>
    <w:p w:rsidR="00D24B89" w:rsidRDefault="00D24B89" w:rsidP="00D24B89">
      <w:pPr>
        <w:jc w:val="both"/>
        <w:rPr>
          <w:szCs w:val="24"/>
          <w:lang w:val="fr-FR"/>
        </w:rPr>
      </w:pPr>
      <w:r w:rsidRPr="00947C0D">
        <w:rPr>
          <w:szCs w:val="24"/>
          <w:lang w:val="fr-FR"/>
        </w:rPr>
        <w:t>Il est porté à l’attention des Consultants que les dispositions des paragraphes 3.16 et 3.17 du « </w:t>
      </w:r>
      <w:r w:rsidRPr="00947C0D">
        <w:rPr>
          <w:i/>
          <w:szCs w:val="24"/>
          <w:lang w:val="fr-FR"/>
        </w:rPr>
        <w:t>Règlement de Passation des Marchés pour les Emprunteurs sollicitant le Financement de Projets d’Investissement (FPI) </w:t>
      </w:r>
      <w:r w:rsidRPr="00947C0D">
        <w:rPr>
          <w:szCs w:val="24"/>
          <w:lang w:val="fr-FR"/>
        </w:rPr>
        <w:t xml:space="preserve">» </w:t>
      </w:r>
      <w:r w:rsidRPr="00947C0D">
        <w:rPr>
          <w:i/>
          <w:szCs w:val="24"/>
          <w:lang w:val="fr-FR"/>
        </w:rPr>
        <w:t>édition 2016 (« </w:t>
      </w:r>
      <w:r w:rsidRPr="00947C0D">
        <w:rPr>
          <w:szCs w:val="24"/>
          <w:lang w:val="fr-FR"/>
        </w:rPr>
        <w:t>Règlement</w:t>
      </w:r>
      <w:r w:rsidRPr="00947C0D">
        <w:rPr>
          <w:i/>
          <w:szCs w:val="24"/>
          <w:lang w:val="fr-FR"/>
        </w:rPr>
        <w:t xml:space="preserve"> »)</w:t>
      </w:r>
      <w:r w:rsidRPr="00947C0D">
        <w:rPr>
          <w:szCs w:val="24"/>
          <w:lang w:val="fr-FR"/>
        </w:rPr>
        <w:t xml:space="preserve">, relatives aux règles de la Banque mondiale en matière de conflit d’intérêts sont applicables. </w:t>
      </w:r>
    </w:p>
    <w:p w:rsidR="00D24B89" w:rsidRPr="00947C0D" w:rsidRDefault="00D24B89" w:rsidP="00D24B89">
      <w:pPr>
        <w:jc w:val="both"/>
        <w:rPr>
          <w:i/>
          <w:szCs w:val="24"/>
          <w:lang w:val="fr-FR"/>
        </w:rPr>
      </w:pPr>
    </w:p>
    <w:p w:rsidR="00D24B89" w:rsidRPr="00947C0D" w:rsidRDefault="00D24B89" w:rsidP="00D24B89">
      <w:pPr>
        <w:jc w:val="both"/>
        <w:rPr>
          <w:szCs w:val="24"/>
          <w:lang w:val="fr-FR"/>
        </w:rPr>
      </w:pPr>
    </w:p>
    <w:p w:rsidR="00D24B89" w:rsidRPr="00947C0D" w:rsidRDefault="00D24B89" w:rsidP="00D24B89">
      <w:pPr>
        <w:ind w:right="72"/>
        <w:jc w:val="both"/>
        <w:rPr>
          <w:szCs w:val="24"/>
          <w:lang w:val="fr-FR"/>
        </w:rPr>
      </w:pPr>
      <w:r w:rsidRPr="00947C0D">
        <w:rPr>
          <w:szCs w:val="24"/>
          <w:lang w:val="fr-FR"/>
        </w:rPr>
        <w:t xml:space="preserve">Un Consultant sera sélectionné selon la méthode de sélection fondée sur qualification </w:t>
      </w:r>
      <w:r>
        <w:rPr>
          <w:szCs w:val="24"/>
          <w:lang w:val="fr-FR"/>
        </w:rPr>
        <w:t>des consultants (S</w:t>
      </w:r>
      <w:r w:rsidRPr="00947C0D">
        <w:rPr>
          <w:szCs w:val="24"/>
          <w:lang w:val="fr-FR"/>
        </w:rPr>
        <w:t>QC) telle que décrite dans le Règlement de la Passation de marchés de la banque Mondiale.</w:t>
      </w:r>
    </w:p>
    <w:p w:rsidR="00D24B89" w:rsidRPr="00947C0D" w:rsidRDefault="00D24B89" w:rsidP="00D24B89">
      <w:pPr>
        <w:jc w:val="both"/>
        <w:rPr>
          <w:szCs w:val="24"/>
          <w:lang w:val="fr-FR"/>
        </w:rPr>
      </w:pPr>
      <w:r w:rsidRPr="00947C0D">
        <w:rPr>
          <w:szCs w:val="24"/>
          <w:lang w:val="fr-FR"/>
        </w:rPr>
        <w:t xml:space="preserve">Les Consultants intéressés peuvent obtenir des informations supplémentaires à l’adresse </w:t>
      </w:r>
      <w:r>
        <w:rPr>
          <w:szCs w:val="24"/>
          <w:lang w:val="fr-FR"/>
        </w:rPr>
        <w:t xml:space="preserve">électronique </w:t>
      </w:r>
      <w:r w:rsidRPr="00947C0D">
        <w:rPr>
          <w:szCs w:val="24"/>
          <w:lang w:val="fr-FR"/>
        </w:rPr>
        <w:t>ci-dessous et aux heures suivantes : entre 09h00 et 16h00.</w:t>
      </w:r>
    </w:p>
    <w:p w:rsidR="00D24B89" w:rsidRPr="00947C0D" w:rsidRDefault="00D24B89" w:rsidP="00D24B89">
      <w:pPr>
        <w:jc w:val="both"/>
        <w:rPr>
          <w:szCs w:val="24"/>
          <w:lang w:val="fr-FR"/>
        </w:rPr>
      </w:pPr>
    </w:p>
    <w:p w:rsidR="00D24B89" w:rsidRPr="00947C0D" w:rsidRDefault="00D24B89" w:rsidP="00D24B89">
      <w:pPr>
        <w:jc w:val="both"/>
        <w:rPr>
          <w:i/>
          <w:szCs w:val="24"/>
          <w:lang w:val="fr-FR"/>
        </w:rPr>
      </w:pPr>
      <w:r w:rsidRPr="00947C0D">
        <w:rPr>
          <w:szCs w:val="24"/>
          <w:lang w:val="fr-FR"/>
        </w:rPr>
        <w:t xml:space="preserve">Les manifestations d’intérêt écrites doivent être déposées </w:t>
      </w:r>
      <w:r>
        <w:rPr>
          <w:szCs w:val="24"/>
          <w:lang w:val="fr-FR"/>
        </w:rPr>
        <w:t xml:space="preserve">physiquement </w:t>
      </w:r>
      <w:r w:rsidRPr="00947C0D">
        <w:rPr>
          <w:szCs w:val="24"/>
          <w:lang w:val="fr-FR"/>
        </w:rPr>
        <w:t>à l’adresse</w:t>
      </w:r>
      <w:r>
        <w:rPr>
          <w:szCs w:val="24"/>
          <w:lang w:val="fr-FR"/>
        </w:rPr>
        <w:t xml:space="preserve"> ci-dessous</w:t>
      </w:r>
      <w:r w:rsidRPr="00947C0D">
        <w:rPr>
          <w:szCs w:val="24"/>
          <w:lang w:val="fr-FR"/>
        </w:rPr>
        <w:t xml:space="preserve"> ou par courrier électr</w:t>
      </w:r>
      <w:r>
        <w:rPr>
          <w:szCs w:val="24"/>
          <w:lang w:val="fr-FR"/>
        </w:rPr>
        <w:t>onique au plus tard le  10 octobre 2024</w:t>
      </w:r>
    </w:p>
    <w:p w:rsidR="00D24B89" w:rsidRPr="00947C0D" w:rsidRDefault="00D24B89" w:rsidP="00D24B89">
      <w:pPr>
        <w:jc w:val="both"/>
        <w:rPr>
          <w:i/>
          <w:szCs w:val="24"/>
          <w:lang w:val="fr-FR"/>
        </w:rPr>
      </w:pPr>
    </w:p>
    <w:p w:rsidR="00D24B89" w:rsidRPr="00947C0D" w:rsidRDefault="00D24B89" w:rsidP="00D24B89">
      <w:pPr>
        <w:jc w:val="both"/>
        <w:rPr>
          <w:szCs w:val="24"/>
          <w:lang w:val="fr-FR"/>
        </w:rPr>
      </w:pPr>
      <w:r w:rsidRPr="00947C0D">
        <w:rPr>
          <w:szCs w:val="24"/>
          <w:lang w:val="fr-FR"/>
        </w:rPr>
        <w:t>Bureau de l’Unité de Coordination de Projet (UCP)</w:t>
      </w:r>
    </w:p>
    <w:p w:rsidR="00D24B89" w:rsidRPr="00947C0D" w:rsidRDefault="00D24B89" w:rsidP="00D24B89">
      <w:pPr>
        <w:jc w:val="both"/>
        <w:rPr>
          <w:b/>
          <w:szCs w:val="24"/>
          <w:lang w:val="fr-FR"/>
        </w:rPr>
      </w:pPr>
      <w:r w:rsidRPr="00947C0D">
        <w:rPr>
          <w:szCs w:val="24"/>
          <w:lang w:val="fr-FR"/>
        </w:rPr>
        <w:t>Ministère de l’Intérieur et des Collectivités Territoriales (MICT)</w:t>
      </w:r>
    </w:p>
    <w:p w:rsidR="00D24B89" w:rsidRPr="00947C0D" w:rsidRDefault="00D24B89" w:rsidP="00D24B89">
      <w:pPr>
        <w:jc w:val="both"/>
        <w:rPr>
          <w:szCs w:val="24"/>
          <w:lang w:val="fr-FR"/>
        </w:rPr>
      </w:pPr>
      <w:r w:rsidRPr="00947C0D">
        <w:rPr>
          <w:szCs w:val="24"/>
          <w:lang w:val="fr-FR"/>
        </w:rPr>
        <w:t>À l'attention de : Pierre Michael MERISIER</w:t>
      </w:r>
    </w:p>
    <w:p w:rsidR="00D24B89" w:rsidRPr="00947C0D" w:rsidRDefault="00D24B89" w:rsidP="00D24B89">
      <w:pPr>
        <w:jc w:val="both"/>
        <w:rPr>
          <w:szCs w:val="24"/>
          <w:lang w:val="fr-FR"/>
        </w:rPr>
      </w:pPr>
      <w:r w:rsidRPr="00947C0D">
        <w:rPr>
          <w:szCs w:val="24"/>
          <w:lang w:val="fr-FR"/>
        </w:rPr>
        <w:t>1</w:t>
      </w:r>
      <w:r>
        <w:rPr>
          <w:szCs w:val="24"/>
          <w:lang w:val="fr-FR"/>
        </w:rPr>
        <w:t>48</w:t>
      </w:r>
      <w:r w:rsidRPr="00947C0D">
        <w:rPr>
          <w:szCs w:val="24"/>
          <w:lang w:val="fr-FR"/>
        </w:rPr>
        <w:t xml:space="preserve">, </w:t>
      </w:r>
      <w:r>
        <w:rPr>
          <w:szCs w:val="24"/>
          <w:lang w:val="fr-FR"/>
        </w:rPr>
        <w:t>Avenue Martin Luter King</w:t>
      </w:r>
      <w:r w:rsidRPr="00947C0D">
        <w:rPr>
          <w:szCs w:val="24"/>
          <w:lang w:val="fr-FR"/>
        </w:rPr>
        <w:t xml:space="preserve"> </w:t>
      </w:r>
      <w:r>
        <w:rPr>
          <w:szCs w:val="24"/>
          <w:lang w:val="fr-FR"/>
        </w:rPr>
        <w:t xml:space="preserve">/ </w:t>
      </w:r>
      <w:proofErr w:type="spellStart"/>
      <w:r w:rsidRPr="00947C0D">
        <w:rPr>
          <w:szCs w:val="24"/>
          <w:lang w:val="fr-FR"/>
        </w:rPr>
        <w:t>Turgeau</w:t>
      </w:r>
      <w:proofErr w:type="spellEnd"/>
      <w:r w:rsidRPr="00947C0D">
        <w:rPr>
          <w:szCs w:val="24"/>
          <w:lang w:val="fr-FR"/>
        </w:rPr>
        <w:t xml:space="preserve">, </w:t>
      </w:r>
      <w:proofErr w:type="spellStart"/>
      <w:r w:rsidRPr="00947C0D">
        <w:rPr>
          <w:szCs w:val="24"/>
          <w:lang w:val="fr-FR"/>
        </w:rPr>
        <w:t>Haiti</w:t>
      </w:r>
      <w:proofErr w:type="spellEnd"/>
    </w:p>
    <w:p w:rsidR="00D24B89" w:rsidRPr="00947C0D" w:rsidRDefault="00D24B89" w:rsidP="00D24B89">
      <w:pPr>
        <w:jc w:val="both"/>
        <w:rPr>
          <w:szCs w:val="24"/>
          <w:lang w:val="fr-FR"/>
        </w:rPr>
      </w:pPr>
      <w:r w:rsidRPr="00947C0D">
        <w:rPr>
          <w:szCs w:val="24"/>
          <w:lang w:val="fr-FR"/>
        </w:rPr>
        <w:t xml:space="preserve">E-mail : </w:t>
      </w:r>
      <w:hyperlink r:id="rId8" w:history="1">
        <w:r w:rsidRPr="00947C0D">
          <w:rPr>
            <w:rStyle w:val="Hyperlink"/>
            <w:szCs w:val="24"/>
            <w:lang w:val="fr-FR"/>
          </w:rPr>
          <w:t>passationdemarches.ucpmict@gmail.com</w:t>
        </w:r>
      </w:hyperlink>
    </w:p>
    <w:p w:rsidR="00D24B89" w:rsidRPr="00947C0D" w:rsidRDefault="00D24B89" w:rsidP="00D24B89">
      <w:pPr>
        <w:jc w:val="both"/>
        <w:rPr>
          <w:rFonts w:ascii="CG Times" w:hAnsi="CG Times"/>
          <w:sz w:val="22"/>
          <w:lang w:val="fr-FR"/>
        </w:rPr>
      </w:pPr>
    </w:p>
    <w:p w:rsidR="00D24B89" w:rsidRDefault="00D24B89" w:rsidP="00D24B89">
      <w:pPr>
        <w:jc w:val="both"/>
        <w:rPr>
          <w:rFonts w:ascii="CG Times" w:hAnsi="CG Times"/>
          <w:i/>
          <w:sz w:val="22"/>
          <w:lang w:val="fr-FR"/>
        </w:rPr>
      </w:pPr>
    </w:p>
    <w:p w:rsidR="00D24B89" w:rsidRPr="00DC515D" w:rsidRDefault="00D24B89" w:rsidP="00D24B89">
      <w:pPr>
        <w:suppressAutoHyphens/>
        <w:jc w:val="both"/>
        <w:rPr>
          <w:rFonts w:ascii="CG Times" w:hAnsi="CG Times"/>
          <w:spacing w:val="-2"/>
          <w:sz w:val="22"/>
          <w:lang w:val="fr-FR"/>
        </w:rPr>
      </w:pPr>
    </w:p>
    <w:p w:rsidR="00D24B89" w:rsidRPr="00DC515D" w:rsidRDefault="00D24B89" w:rsidP="00D24B89">
      <w:pPr>
        <w:jc w:val="both"/>
        <w:rPr>
          <w:lang w:val="fr-FR"/>
        </w:rPr>
      </w:pPr>
    </w:p>
    <w:p w:rsidR="001B2585" w:rsidRDefault="001B2585">
      <w:bookmarkStart w:id="2" w:name="_GoBack"/>
      <w:bookmarkEnd w:id="2"/>
    </w:p>
    <w:sectPr w:rsidR="001B2585">
      <w:headerReference w:type="even" r:id="rId9"/>
      <w:headerReference w:type="default" r:id="rId10"/>
      <w:headerReference w:type="first" r:id="rId11"/>
      <w:endnotePr>
        <w:numFmt w:val="decimal"/>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15D" w:rsidRDefault="00D24B89">
    <w:pPr>
      <w:pStyle w:val="Header"/>
      <w:tabs>
        <w:tab w:val="clear" w:pos="4320"/>
        <w:tab w:val="clear" w:pos="7200"/>
      </w:tabs>
      <w:jc w:val="right"/>
    </w:pPr>
    <w:r>
      <w:rPr>
        <w:rFonts w:ascii="CG Times" w:hAnsi="CG Times"/>
        <w:sz w:val="22"/>
      </w:rPr>
      <w:t>Page 2 de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15D" w:rsidRDefault="00D24B89">
    <w:pPr>
      <w:pStyle w:val="Header"/>
      <w:tabs>
        <w:tab w:val="clear" w:pos="4320"/>
        <w:tab w:val="clear" w:pos="7200"/>
      </w:tabs>
      <w:jc w:val="right"/>
      <w:rPr>
        <w:rFonts w:ascii="CG Times" w:hAnsi="CG Times"/>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15D" w:rsidRDefault="00D24B89">
    <w:pPr>
      <w:pStyle w:val="Header"/>
      <w:tabs>
        <w:tab w:val="clear" w:pos="4320"/>
        <w:tab w:val="clear" w:pos="7200"/>
      </w:tabs>
      <w:jc w:val="right"/>
      <w:rPr>
        <w:rFonts w:ascii="CG Times" w:hAnsi="CG Times"/>
        <w:sz w:val="22"/>
      </w:rPr>
    </w:pPr>
    <w:r>
      <w:rPr>
        <w:rFonts w:ascii="CG Times" w:hAnsi="CG Times"/>
        <w:sz w:val="22"/>
      </w:rPr>
      <w:t>Page 1 de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62AB6"/>
    <w:multiLevelType w:val="hybridMultilevel"/>
    <w:tmpl w:val="6B48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B89"/>
    <w:rsid w:val="00055C65"/>
    <w:rsid w:val="001B2585"/>
    <w:rsid w:val="00216139"/>
    <w:rsid w:val="004C53E7"/>
    <w:rsid w:val="004D588D"/>
    <w:rsid w:val="00530EAD"/>
    <w:rsid w:val="00594580"/>
    <w:rsid w:val="007A0CA9"/>
    <w:rsid w:val="00882457"/>
    <w:rsid w:val="00D24B89"/>
    <w:rsid w:val="00D83F7B"/>
    <w:rsid w:val="00E7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B8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4B89"/>
    <w:pPr>
      <w:tabs>
        <w:tab w:val="center" w:pos="4320"/>
        <w:tab w:val="left" w:pos="7200"/>
      </w:tabs>
    </w:pPr>
  </w:style>
  <w:style w:type="character" w:customStyle="1" w:styleId="HeaderChar">
    <w:name w:val="Header Char"/>
    <w:basedOn w:val="DefaultParagraphFont"/>
    <w:link w:val="Header"/>
    <w:rsid w:val="00D24B89"/>
    <w:rPr>
      <w:rFonts w:ascii="Times New Roman" w:eastAsia="Times New Roman" w:hAnsi="Times New Roman" w:cs="Times New Roman"/>
      <w:sz w:val="24"/>
      <w:szCs w:val="20"/>
    </w:rPr>
  </w:style>
  <w:style w:type="paragraph" w:styleId="BodyText">
    <w:name w:val="Body Text"/>
    <w:basedOn w:val="Normal"/>
    <w:link w:val="BodyTextChar"/>
    <w:rsid w:val="00D24B89"/>
    <w:pPr>
      <w:suppressAutoHyphens/>
    </w:pPr>
    <w:rPr>
      <w:rFonts w:ascii="CG Times" w:hAnsi="CG Times"/>
      <w:spacing w:val="-2"/>
    </w:rPr>
  </w:style>
  <w:style w:type="character" w:customStyle="1" w:styleId="BodyTextChar">
    <w:name w:val="Body Text Char"/>
    <w:basedOn w:val="DefaultParagraphFont"/>
    <w:link w:val="BodyText"/>
    <w:rsid w:val="00D24B89"/>
    <w:rPr>
      <w:rFonts w:ascii="CG Times" w:eastAsia="Times New Roman" w:hAnsi="CG Times" w:cs="Times New Roman"/>
      <w:spacing w:val="-2"/>
      <w:sz w:val="24"/>
      <w:szCs w:val="20"/>
    </w:rPr>
  </w:style>
  <w:style w:type="character" w:styleId="Hyperlink">
    <w:name w:val="Hyperlink"/>
    <w:uiPriority w:val="99"/>
    <w:unhideWhenUsed/>
    <w:rsid w:val="00D24B89"/>
    <w:rPr>
      <w:color w:val="0563C1"/>
      <w:u w:val="single"/>
    </w:rPr>
  </w:style>
  <w:style w:type="character" w:customStyle="1" w:styleId="q4iawc">
    <w:name w:val="q4iawc"/>
    <w:rsid w:val="00D24B89"/>
  </w:style>
  <w:style w:type="paragraph" w:customStyle="1" w:styleId="Default">
    <w:name w:val="Default"/>
    <w:rsid w:val="00D24B89"/>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TxBrp10">
    <w:name w:val="TxBr_p10"/>
    <w:basedOn w:val="Normal"/>
    <w:rsid w:val="00D24B89"/>
    <w:pPr>
      <w:widowControl w:val="0"/>
      <w:tabs>
        <w:tab w:val="left" w:pos="204"/>
      </w:tabs>
      <w:autoSpaceDE w:val="0"/>
      <w:autoSpaceDN w:val="0"/>
      <w:adjustRightInd w:val="0"/>
      <w:spacing w:line="240" w:lineRule="atLeast"/>
      <w:jc w:val="both"/>
    </w:pPr>
    <w:rPr>
      <w:sz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B8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4B89"/>
    <w:pPr>
      <w:tabs>
        <w:tab w:val="center" w:pos="4320"/>
        <w:tab w:val="left" w:pos="7200"/>
      </w:tabs>
    </w:pPr>
  </w:style>
  <w:style w:type="character" w:customStyle="1" w:styleId="HeaderChar">
    <w:name w:val="Header Char"/>
    <w:basedOn w:val="DefaultParagraphFont"/>
    <w:link w:val="Header"/>
    <w:rsid w:val="00D24B89"/>
    <w:rPr>
      <w:rFonts w:ascii="Times New Roman" w:eastAsia="Times New Roman" w:hAnsi="Times New Roman" w:cs="Times New Roman"/>
      <w:sz w:val="24"/>
      <w:szCs w:val="20"/>
    </w:rPr>
  </w:style>
  <w:style w:type="paragraph" w:styleId="BodyText">
    <w:name w:val="Body Text"/>
    <w:basedOn w:val="Normal"/>
    <w:link w:val="BodyTextChar"/>
    <w:rsid w:val="00D24B89"/>
    <w:pPr>
      <w:suppressAutoHyphens/>
    </w:pPr>
    <w:rPr>
      <w:rFonts w:ascii="CG Times" w:hAnsi="CG Times"/>
      <w:spacing w:val="-2"/>
    </w:rPr>
  </w:style>
  <w:style w:type="character" w:customStyle="1" w:styleId="BodyTextChar">
    <w:name w:val="Body Text Char"/>
    <w:basedOn w:val="DefaultParagraphFont"/>
    <w:link w:val="BodyText"/>
    <w:rsid w:val="00D24B89"/>
    <w:rPr>
      <w:rFonts w:ascii="CG Times" w:eastAsia="Times New Roman" w:hAnsi="CG Times" w:cs="Times New Roman"/>
      <w:spacing w:val="-2"/>
      <w:sz w:val="24"/>
      <w:szCs w:val="20"/>
    </w:rPr>
  </w:style>
  <w:style w:type="character" w:styleId="Hyperlink">
    <w:name w:val="Hyperlink"/>
    <w:uiPriority w:val="99"/>
    <w:unhideWhenUsed/>
    <w:rsid w:val="00D24B89"/>
    <w:rPr>
      <w:color w:val="0563C1"/>
      <w:u w:val="single"/>
    </w:rPr>
  </w:style>
  <w:style w:type="character" w:customStyle="1" w:styleId="q4iawc">
    <w:name w:val="q4iawc"/>
    <w:rsid w:val="00D24B89"/>
  </w:style>
  <w:style w:type="paragraph" w:customStyle="1" w:styleId="Default">
    <w:name w:val="Default"/>
    <w:rsid w:val="00D24B89"/>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TxBrp10">
    <w:name w:val="TxBr_p10"/>
    <w:basedOn w:val="Normal"/>
    <w:rsid w:val="00D24B89"/>
    <w:pPr>
      <w:widowControl w:val="0"/>
      <w:tabs>
        <w:tab w:val="left" w:pos="204"/>
      </w:tabs>
      <w:autoSpaceDE w:val="0"/>
      <w:autoSpaceDN w:val="0"/>
      <w:adjustRightInd w:val="0"/>
      <w:spacing w:line="240" w:lineRule="atLeast"/>
      <w:jc w:val="both"/>
    </w:pPr>
    <w:rPr>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sationdemarches.ucpmict@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passationdemarches.ucpmict@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rfran</dc:creator>
  <cp:lastModifiedBy>rfran</cp:lastModifiedBy>
  <cp:revision>1</cp:revision>
  <dcterms:created xsi:type="dcterms:W3CDTF">2024-09-12T17:10:00Z</dcterms:created>
  <dcterms:modified xsi:type="dcterms:W3CDTF">2024-09-12T17:10:00Z</dcterms:modified>
</cp:coreProperties>
</file>