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3" w:rsidRPr="007159A0" w:rsidRDefault="000D1803" w:rsidP="000D18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9A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D121B7" wp14:editId="44076915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260399" cy="877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803" w:rsidRPr="007159A0" w:rsidRDefault="000D1803" w:rsidP="000D1803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RÉPUBLIQUE D’HAÏTI</w:t>
      </w:r>
    </w:p>
    <w:p w:rsidR="000D1803" w:rsidRPr="007159A0" w:rsidRDefault="000D1803" w:rsidP="000D1803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MINISTÈRE DE L’ÉCONOMIE ET DES FINANCES</w:t>
      </w:r>
    </w:p>
    <w:p w:rsidR="000D1803" w:rsidRPr="007159A0" w:rsidRDefault="000D1803" w:rsidP="000D1803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hAnsi="Arial" w:cs="Arial"/>
          <w:b/>
          <w:bCs/>
          <w:sz w:val="24"/>
          <w:szCs w:val="24"/>
          <w:lang w:val="fr-FR"/>
        </w:rPr>
        <w:t>UNITÉ TECHNIQUE D’EXÉCUTION</w:t>
      </w:r>
    </w:p>
    <w:p w:rsidR="000D1803" w:rsidRPr="007159A0" w:rsidRDefault="000D1803" w:rsidP="000D1803">
      <w:pPr>
        <w:spacing w:before="360" w:after="120"/>
        <w:ind w:left="634" w:right="648"/>
        <w:jc w:val="center"/>
        <w:rPr>
          <w:rFonts w:ascii="Arial" w:eastAsia="Georgia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PROGRAMME D’INFRASTRUCTURE PRODUCTIVE V </w:t>
      </w:r>
      <w:r w:rsidRPr="007159A0">
        <w:rPr>
          <w:rFonts w:ascii="Arial" w:eastAsia="Georgia" w:hAnsi="Arial" w:cs="Arial"/>
          <w:b/>
          <w:bCs/>
          <w:sz w:val="24"/>
          <w:szCs w:val="24"/>
          <w:lang w:val="fr-FR"/>
        </w:rPr>
        <w:t>(PIP V)</w:t>
      </w:r>
    </w:p>
    <w:p w:rsidR="000D1803" w:rsidRPr="007159A0" w:rsidRDefault="000D1803" w:rsidP="000D1803">
      <w:pPr>
        <w:spacing w:before="240"/>
        <w:ind w:left="634" w:right="648"/>
        <w:jc w:val="center"/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pacing w:val="31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>ACCORD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>DE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7159A0">
        <w:rPr>
          <w:rFonts w:ascii="Arial" w:eastAsia="Georgia" w:hAnsi="Arial" w:cs="Arial"/>
          <w:b/>
          <w:bCs/>
          <w:spacing w:val="-1"/>
          <w:sz w:val="24"/>
          <w:szCs w:val="24"/>
          <w:lang w:val="fr-FR"/>
        </w:rPr>
        <w:t xml:space="preserve">DON 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>N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vertAlign w:val="superscript"/>
          <w:lang w:val="fr-FR"/>
        </w:rPr>
        <w:t>o</w:t>
      </w:r>
      <w:r w:rsidRPr="007159A0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 xml:space="preserve"> 5390/GR-HA</w:t>
      </w:r>
    </w:p>
    <w:p w:rsidR="000D1803" w:rsidRPr="007159A0" w:rsidRDefault="000D1803" w:rsidP="000D1803">
      <w:pPr>
        <w:spacing w:after="120" w:line="238" w:lineRule="exact"/>
        <w:ind w:left="634" w:right="648"/>
        <w:jc w:val="center"/>
        <w:rPr>
          <w:rFonts w:ascii="Arial" w:eastAsia="Georgia" w:hAnsi="Arial" w:cs="Arial"/>
          <w:b/>
          <w:bCs/>
          <w:sz w:val="24"/>
          <w:szCs w:val="24"/>
          <w:lang w:val="fr-FR"/>
        </w:rPr>
      </w:pPr>
      <w:r w:rsidRPr="007159A0">
        <w:rPr>
          <w:rFonts w:ascii="Arial" w:eastAsia="Georgia" w:hAnsi="Arial" w:cs="Arial"/>
          <w:b/>
          <w:bCs/>
          <w:sz w:val="24"/>
          <w:szCs w:val="24"/>
          <w:lang w:val="fr-FR"/>
        </w:rPr>
        <w:t xml:space="preserve">Banque Interaméricaine de Développement </w:t>
      </w:r>
      <w:r w:rsidRPr="007159A0">
        <w:rPr>
          <w:rFonts w:ascii="Arial" w:hAnsi="Arial" w:cs="Arial"/>
          <w:b/>
          <w:bCs/>
          <w:spacing w:val="-1"/>
          <w:sz w:val="24"/>
          <w:szCs w:val="24"/>
          <w:lang w:val="fr-FR"/>
        </w:rPr>
        <w:t>(</w:t>
      </w:r>
      <w:r w:rsidRPr="007159A0">
        <w:rPr>
          <w:rFonts w:ascii="Arial" w:hAnsi="Arial" w:cs="Arial"/>
          <w:b/>
          <w:bCs/>
          <w:spacing w:val="-2"/>
          <w:sz w:val="24"/>
          <w:szCs w:val="24"/>
          <w:lang w:val="fr-FR"/>
        </w:rPr>
        <w:t>BID)</w:t>
      </w:r>
    </w:p>
    <w:p w:rsidR="000D1803" w:rsidRPr="006C2A95" w:rsidRDefault="000D1803" w:rsidP="000D1803">
      <w:pPr>
        <w:spacing w:before="360" w:after="120"/>
        <w:ind w:left="634" w:right="648"/>
        <w:jc w:val="center"/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</w:pPr>
      <w:r w:rsidRPr="006C2A95">
        <w:rPr>
          <w:rFonts w:ascii="Arial" w:eastAsia="Georgia" w:hAnsi="Arial" w:cs="Arial"/>
          <w:b/>
          <w:bCs/>
          <w:spacing w:val="-2"/>
          <w:sz w:val="24"/>
          <w:szCs w:val="24"/>
          <w:lang w:val="fr-FR"/>
        </w:rPr>
        <w:t>SCI-CC-PIP V-008</w:t>
      </w:r>
    </w:p>
    <w:p w:rsidR="006C2A95" w:rsidRDefault="000D1803" w:rsidP="006C2A95">
      <w:pPr>
        <w:pStyle w:val="Pieddepage"/>
        <w:ind w:right="40"/>
        <w:jc w:val="center"/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</w:pPr>
      <w:r w:rsidRPr="006C2A95"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  <w:t>AVIS DE RECRUTEMENT D’UN CONSULTANT INDIVIDUEL</w:t>
      </w:r>
      <w:r w:rsidR="006C2A95"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  <w:t xml:space="preserve"> Pour</w:t>
      </w:r>
      <w:r w:rsidR="006C2A95" w:rsidRPr="006C2A95"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  <w:t xml:space="preserve"> </w:t>
      </w:r>
      <w:r w:rsidR="006C2A95"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  <w:t xml:space="preserve">dÉvelopper </w:t>
      </w:r>
      <w:r w:rsidR="006C2A95" w:rsidRPr="006C2A95"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  <w:t>une campagne de sensibilisation sur le harcèlement sexuel sur les lieux de travail et dans les communautés avoisinantes du PIC</w:t>
      </w:r>
    </w:p>
    <w:p w:rsidR="006C2A95" w:rsidRDefault="006C2A95" w:rsidP="006C2A95">
      <w:pPr>
        <w:pStyle w:val="Pieddepage"/>
        <w:rPr>
          <w:rFonts w:ascii="Arial" w:eastAsia="Georgia" w:hAnsi="Arial" w:cs="Arial"/>
          <w:b/>
          <w:bCs/>
          <w:caps/>
          <w:spacing w:val="-2"/>
          <w:sz w:val="24"/>
          <w:szCs w:val="24"/>
          <w:lang w:val="fr-FR"/>
        </w:rPr>
      </w:pPr>
    </w:p>
    <w:p w:rsidR="000D1803" w:rsidRPr="007159A0" w:rsidRDefault="000D1803" w:rsidP="006C2A95">
      <w:pPr>
        <w:pStyle w:val="Corpsdetexte"/>
        <w:spacing w:before="120" w:after="120"/>
        <w:ind w:left="0" w:right="114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Ministère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l’Économie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des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Finances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(MEF),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travers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l’Unité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Technique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d’Exécution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(UTE),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cherche</w:t>
      </w:r>
      <w:r w:rsidRPr="007159A0">
        <w:rPr>
          <w:rFonts w:ascii="Arial" w:hAnsi="Arial" w:cs="Arial"/>
          <w:spacing w:val="-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-6"/>
          <w:sz w:val="22"/>
          <w:szCs w:val="22"/>
          <w:lang w:val="fr-FR"/>
        </w:rPr>
        <w:t xml:space="preserve"> 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recruter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Consultant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individuel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6C2A95" w:rsidRPr="006C2A95">
        <w:rPr>
          <w:rFonts w:ascii="Arial" w:hAnsi="Arial" w:cs="Arial"/>
          <w:spacing w:val="-1"/>
          <w:sz w:val="22"/>
          <w:szCs w:val="22"/>
          <w:lang w:val="fr-FR"/>
        </w:rPr>
        <w:t>pour développer une campagne de sensibilisation sur le harcèlement sexuel sur les lieux de travail et dans les communautés avoisinantes du PIC (Réf. SCI-CC-PIP V-008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>) dans le cadre du Programme d’Infrastructure Productive V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(PIP V)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dont elle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assure la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mise</w:t>
      </w:r>
      <w:r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en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œuvre.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Consultant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sera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choisi</w:t>
      </w:r>
      <w:r w:rsidRPr="007159A0">
        <w:rPr>
          <w:rFonts w:ascii="Arial" w:hAnsi="Arial" w:cs="Arial"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suivant</w:t>
      </w:r>
      <w:r w:rsidRPr="007159A0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la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méthode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de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sélection de consultant individuel, telle que décrite </w:t>
      </w:r>
      <w:r w:rsidR="00106485">
        <w:rPr>
          <w:rFonts w:ascii="Arial" w:hAnsi="Arial" w:cs="Arial"/>
          <w:spacing w:val="-1"/>
          <w:sz w:val="22"/>
          <w:szCs w:val="22"/>
          <w:lang w:val="fr-FR"/>
        </w:rPr>
        <w:t xml:space="preserve">dans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les politiques de la Banque Interaméricaine de Développement (BID)</w:t>
      </w:r>
      <w:r w:rsidRPr="007159A0">
        <w:rPr>
          <w:rStyle w:val="Appelnotedebasdep"/>
          <w:rFonts w:ascii="Arial" w:hAnsi="Arial" w:cs="Arial"/>
          <w:spacing w:val="-1"/>
          <w:sz w:val="22"/>
          <w:szCs w:val="22"/>
          <w:lang w:val="fr-FR"/>
        </w:rPr>
        <w:footnoteReference w:id="1"/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.</w:t>
      </w:r>
      <w:r w:rsidRPr="007159A0">
        <w:rPr>
          <w:rFonts w:ascii="Arial" w:hAnsi="Arial" w:cs="Arial"/>
          <w:spacing w:val="19"/>
          <w:sz w:val="22"/>
          <w:szCs w:val="22"/>
          <w:lang w:val="fr-FR"/>
        </w:rPr>
        <w:t xml:space="preserve"> </w:t>
      </w:r>
    </w:p>
    <w:p w:rsidR="000D1803" w:rsidRPr="007159A0" w:rsidRDefault="000D1803" w:rsidP="00106485">
      <w:pPr>
        <w:pStyle w:val="Corpsdetexte"/>
        <w:spacing w:before="159"/>
        <w:ind w:left="0" w:right="113"/>
        <w:jc w:val="both"/>
        <w:rPr>
          <w:rFonts w:ascii="Arial" w:hAnsi="Arial" w:cs="Arial"/>
          <w:sz w:val="22"/>
          <w:szCs w:val="22"/>
          <w:lang w:val="fr-FR"/>
        </w:rPr>
      </w:pPr>
      <w:r w:rsidRPr="00106485">
        <w:rPr>
          <w:rFonts w:ascii="Arial" w:hAnsi="Arial" w:cs="Arial"/>
          <w:sz w:val="22"/>
          <w:szCs w:val="22"/>
          <w:lang w:val="fr-FR"/>
        </w:rPr>
        <w:t xml:space="preserve">Pour de plus amples informations sur ce poste, les intéressés peuvent consulter le document de sélection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106485">
        <w:rPr>
          <w:rFonts w:ascii="Arial" w:hAnsi="Arial" w:cs="Arial"/>
          <w:sz w:val="22"/>
          <w:szCs w:val="22"/>
          <w:lang w:val="fr-FR"/>
        </w:rPr>
        <w:t xml:space="preserve"> prendre connaissance des conditions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106485">
        <w:rPr>
          <w:rFonts w:ascii="Arial" w:hAnsi="Arial" w:cs="Arial"/>
          <w:sz w:val="22"/>
          <w:szCs w:val="22"/>
          <w:lang w:val="fr-FR"/>
        </w:rPr>
        <w:t>d’éligibilité (formations,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106485">
        <w:rPr>
          <w:rFonts w:ascii="Arial" w:hAnsi="Arial" w:cs="Arial"/>
          <w:sz w:val="22"/>
          <w:szCs w:val="22"/>
          <w:lang w:val="fr-FR"/>
        </w:rPr>
        <w:t>expériences, aptitudes) sur le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106485">
        <w:rPr>
          <w:rFonts w:ascii="Arial" w:hAnsi="Arial" w:cs="Arial"/>
          <w:sz w:val="22"/>
          <w:szCs w:val="22"/>
          <w:lang w:val="fr-FR"/>
        </w:rPr>
        <w:t xml:space="preserve">site de l’UTE </w:t>
      </w:r>
      <w:r w:rsidRPr="007159A0">
        <w:rPr>
          <w:rFonts w:ascii="Arial" w:hAnsi="Arial" w:cs="Arial"/>
          <w:sz w:val="22"/>
          <w:szCs w:val="22"/>
          <w:lang w:val="fr-FR"/>
        </w:rPr>
        <w:t>via</w:t>
      </w:r>
      <w:r w:rsidRPr="00106485">
        <w:rPr>
          <w:rFonts w:ascii="Arial" w:hAnsi="Arial" w:cs="Arial"/>
          <w:sz w:val="22"/>
          <w:szCs w:val="22"/>
          <w:lang w:val="fr-FR"/>
        </w:rPr>
        <w:t xml:space="preserve"> le lien ci-dessous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</w:p>
    <w:p w:rsidR="00754481" w:rsidRDefault="000640B0" w:rsidP="00754481">
      <w:pPr>
        <w:pStyle w:val="Corpsdetexte"/>
        <w:spacing w:before="161"/>
        <w:ind w:left="0" w:right="114"/>
        <w:jc w:val="center"/>
        <w:rPr>
          <w:lang w:val="fr-FR"/>
        </w:rPr>
      </w:pPr>
      <w:hyperlink r:id="rId8" w:history="1">
        <w:r w:rsidR="00754481" w:rsidRPr="00480575">
          <w:rPr>
            <w:rStyle w:val="Lienhypertexte"/>
            <w:lang w:val="fr-FR"/>
          </w:rPr>
          <w:t>https://www.ute.gouv.ht/wp-content/uploads/2024/03/20240229-dsci-sci-cc-pip-v-008-ci-campagne-sensibilisation-harcelement-sexue</w:t>
        </w:r>
        <w:bookmarkStart w:id="0" w:name="_GoBack"/>
        <w:bookmarkEnd w:id="0"/>
        <w:r w:rsidR="00754481" w:rsidRPr="00480575">
          <w:rPr>
            <w:rStyle w:val="Lienhypertexte"/>
            <w:lang w:val="fr-FR"/>
          </w:rPr>
          <w:t>l.pdf</w:t>
        </w:r>
      </w:hyperlink>
    </w:p>
    <w:p w:rsidR="000D1803" w:rsidRPr="007159A0" w:rsidRDefault="000D1803" w:rsidP="00106485">
      <w:pPr>
        <w:pStyle w:val="Corpsdetexte"/>
        <w:spacing w:before="161"/>
        <w:ind w:left="0" w:right="114"/>
        <w:jc w:val="both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dossier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candidature,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comprenant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une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lettre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motivation,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un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CV</w:t>
      </w:r>
      <w:r w:rsidRPr="007159A0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selon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Pr="007159A0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format</w:t>
      </w:r>
      <w:r w:rsidRPr="007159A0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requis</w:t>
      </w:r>
      <w:r w:rsidRPr="007159A0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une</w:t>
      </w:r>
      <w:r w:rsidRPr="007159A0">
        <w:rPr>
          <w:rFonts w:ascii="Arial" w:hAnsi="Arial" w:cs="Arial"/>
          <w:spacing w:val="3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copie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5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tous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diplômes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et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certificats,</w:t>
      </w:r>
      <w:r w:rsidRPr="007159A0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devra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être envoyé</w:t>
      </w:r>
      <w:r w:rsidRPr="007159A0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au</w:t>
      </w:r>
      <w:r w:rsidRPr="007159A0">
        <w:rPr>
          <w:rFonts w:ascii="Arial" w:hAnsi="Arial" w:cs="Arial"/>
          <w:spacing w:val="14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plus</w:t>
      </w:r>
      <w:r w:rsidRPr="007159A0">
        <w:rPr>
          <w:rFonts w:ascii="Arial" w:hAnsi="Arial" w:cs="Arial"/>
          <w:spacing w:val="13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u w:val="single" w:color="000000"/>
          <w:lang w:val="fr-FR"/>
        </w:rPr>
        <w:t>tard</w:t>
      </w:r>
      <w:r w:rsidRPr="007159A0">
        <w:rPr>
          <w:rFonts w:ascii="Arial" w:hAnsi="Arial" w:cs="Arial"/>
          <w:spacing w:val="15"/>
          <w:sz w:val="22"/>
          <w:szCs w:val="22"/>
          <w:u w:val="single" w:color="000000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le</w:t>
      </w:r>
      <w:r w:rsidR="00754481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="001D2480">
        <w:rPr>
          <w:rFonts w:ascii="Arial" w:hAnsi="Arial" w:cs="Arial"/>
          <w:b/>
          <w:spacing w:val="20"/>
          <w:sz w:val="22"/>
          <w:szCs w:val="22"/>
          <w:lang w:val="fr-FR"/>
        </w:rPr>
        <w:t>30 avril</w:t>
      </w:r>
      <w:r w:rsidR="00754481" w:rsidRPr="00754481">
        <w:rPr>
          <w:rFonts w:ascii="Arial" w:hAnsi="Arial" w:cs="Arial"/>
          <w:b/>
          <w:spacing w:val="20"/>
          <w:sz w:val="22"/>
          <w:szCs w:val="22"/>
          <w:lang w:val="fr-FR"/>
        </w:rPr>
        <w:t xml:space="preserve"> </w:t>
      </w:r>
      <w:r w:rsidR="006C2A95" w:rsidRPr="00754481">
        <w:rPr>
          <w:rFonts w:ascii="Arial" w:hAnsi="Arial" w:cs="Arial"/>
          <w:b/>
          <w:spacing w:val="-1"/>
          <w:sz w:val="22"/>
          <w:szCs w:val="22"/>
          <w:lang w:val="fr-FR"/>
        </w:rPr>
        <w:t>2024</w:t>
      </w:r>
      <w:r w:rsidRPr="007159A0">
        <w:rPr>
          <w:rFonts w:ascii="Arial" w:hAnsi="Arial" w:cs="Arial"/>
          <w:b/>
          <w:spacing w:val="16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4 h</w:t>
      </w:r>
      <w:r w:rsidRPr="007159A0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P.M.,</w:t>
      </w:r>
      <w:r w:rsidRPr="007159A0">
        <w:rPr>
          <w:rFonts w:ascii="Arial" w:hAnsi="Arial" w:cs="Arial"/>
          <w:spacing w:val="5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avec</w:t>
      </w:r>
      <w:r w:rsidRPr="007159A0">
        <w:rPr>
          <w:rFonts w:ascii="Arial" w:hAnsi="Arial" w:cs="Arial"/>
          <w:b/>
          <w:spacing w:val="-1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la</w:t>
      </w:r>
      <w:r w:rsidRPr="007159A0">
        <w:rPr>
          <w:rFonts w:ascii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spacing w:val="-1"/>
          <w:sz w:val="22"/>
          <w:szCs w:val="22"/>
          <w:lang w:val="fr-FR"/>
        </w:rPr>
        <w:t>mention</w:t>
      </w:r>
      <w:r w:rsidRPr="007159A0">
        <w:rPr>
          <w:rFonts w:ascii="Arial" w:hAnsi="Arial" w:cs="Arial"/>
          <w:b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«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Candidature</w:t>
      </w:r>
      <w:r w:rsidRPr="007159A0">
        <w:rPr>
          <w:rFonts w:ascii="Arial" w:hAnsi="Arial" w:cs="Arial"/>
          <w:spacing w:val="-1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-9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(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nom</w:t>
      </w:r>
      <w:r w:rsidRPr="007159A0">
        <w:rPr>
          <w:rFonts w:ascii="Arial" w:hAnsi="Arial" w:cs="Arial"/>
          <w:i/>
          <w:spacing w:val="-12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du</w:t>
      </w:r>
      <w:r w:rsidRPr="007159A0">
        <w:rPr>
          <w:rFonts w:ascii="Arial" w:hAnsi="Arial" w:cs="Arial"/>
          <w:i/>
          <w:spacing w:val="-1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i/>
          <w:spacing w:val="-1"/>
          <w:sz w:val="22"/>
          <w:szCs w:val="22"/>
          <w:lang w:val="fr-FR"/>
        </w:rPr>
        <w:t>candidat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)</w:t>
      </w:r>
      <w:r w:rsidRPr="007159A0">
        <w:rPr>
          <w:rFonts w:ascii="Arial" w:hAnsi="Arial" w:cs="Arial"/>
          <w:spacing w:val="-10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pour</w:t>
      </w:r>
      <w:r w:rsidR="006C2A95" w:rsidRPr="006C2A95">
        <w:rPr>
          <w:rFonts w:ascii="Arial" w:hAnsi="Arial" w:cs="Arial"/>
          <w:spacing w:val="-1"/>
          <w:sz w:val="22"/>
          <w:szCs w:val="22"/>
          <w:lang w:val="fr-FR"/>
        </w:rPr>
        <w:t xml:space="preserve"> développer une campagne de sensibilisation sur le harcèlement sexuel sur les lieux de travail et dans les communautés avoisinantes du PIC</w:t>
      </w:r>
      <w:r w:rsidR="006C2A95">
        <w:rPr>
          <w:rFonts w:ascii="Arial" w:hAnsi="Arial" w:cs="Arial"/>
          <w:sz w:val="22"/>
          <w:szCs w:val="22"/>
          <w:lang w:val="fr-FR"/>
        </w:rPr>
        <w:t xml:space="preserve"> (Réf. SCI-CC-PIP V-008</w:t>
      </w:r>
      <w:r w:rsidRPr="007159A0">
        <w:rPr>
          <w:rFonts w:ascii="Arial" w:hAnsi="Arial" w:cs="Arial"/>
          <w:sz w:val="22"/>
          <w:szCs w:val="22"/>
          <w:lang w:val="fr-FR"/>
        </w:rPr>
        <w:t>)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»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</w:p>
    <w:p w:rsidR="000D1803" w:rsidRPr="007159A0" w:rsidRDefault="000D1803" w:rsidP="000D1803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proofErr w:type="gramStart"/>
      <w:r w:rsidRPr="007159A0">
        <w:rPr>
          <w:rFonts w:ascii="Arial" w:hAnsi="Arial" w:cs="Arial"/>
          <w:sz w:val="22"/>
          <w:szCs w:val="22"/>
          <w:lang w:val="fr-FR"/>
        </w:rPr>
        <w:t>à</w:t>
      </w:r>
      <w:proofErr w:type="gramEnd"/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l’adresse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de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>l’UTE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: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12 B, rue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proofErr w:type="spellStart"/>
      <w:r w:rsidRPr="007159A0">
        <w:rPr>
          <w:rFonts w:ascii="Arial" w:hAnsi="Arial" w:cs="Arial"/>
          <w:sz w:val="22"/>
          <w:szCs w:val="22"/>
          <w:lang w:val="fr-FR"/>
        </w:rPr>
        <w:t>Latortue</w:t>
      </w:r>
      <w:proofErr w:type="spellEnd"/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>-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proofErr w:type="spellStart"/>
      <w:r w:rsidRPr="007159A0">
        <w:rPr>
          <w:rFonts w:ascii="Arial" w:hAnsi="Arial" w:cs="Arial"/>
          <w:spacing w:val="-1"/>
          <w:sz w:val="22"/>
          <w:szCs w:val="22"/>
          <w:lang w:val="fr-FR"/>
        </w:rPr>
        <w:t>Musseau</w:t>
      </w:r>
      <w:proofErr w:type="spellEnd"/>
      <w:r w:rsidRPr="007159A0">
        <w:rPr>
          <w:rFonts w:ascii="Arial" w:hAnsi="Arial" w:cs="Arial"/>
          <w:spacing w:val="-1"/>
          <w:sz w:val="22"/>
          <w:szCs w:val="22"/>
          <w:lang w:val="fr-FR"/>
        </w:rPr>
        <w:t>,</w:t>
      </w:r>
      <w:r w:rsidRPr="007159A0">
        <w:rPr>
          <w:rFonts w:ascii="Arial" w:hAnsi="Arial" w:cs="Arial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pacing w:val="-2"/>
          <w:sz w:val="22"/>
          <w:szCs w:val="22"/>
          <w:lang w:val="fr-FR"/>
        </w:rPr>
        <w:t xml:space="preserve">Port-au-Prince, </w:t>
      </w:r>
      <w:r w:rsidRPr="007159A0">
        <w:rPr>
          <w:rFonts w:ascii="Arial" w:hAnsi="Arial" w:cs="Arial"/>
          <w:spacing w:val="-1"/>
          <w:sz w:val="22"/>
          <w:szCs w:val="22"/>
          <w:lang w:val="fr-FR"/>
        </w:rPr>
        <w:t>Haïti,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b/>
          <w:bCs/>
          <w:spacing w:val="-3"/>
          <w:sz w:val="22"/>
          <w:szCs w:val="22"/>
          <w:u w:val="single" w:color="000000"/>
          <w:lang w:val="fr-FR"/>
        </w:rPr>
        <w:t>ou</w:t>
      </w:r>
    </w:p>
    <w:p w:rsidR="000D1803" w:rsidRPr="007159A0" w:rsidRDefault="000D1803" w:rsidP="000D1803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z w:val="22"/>
          <w:szCs w:val="22"/>
          <w:lang w:val="fr-FR"/>
        </w:rPr>
        <w:t>par courrier</w:t>
      </w:r>
      <w:r w:rsidRPr="007159A0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électronique</w:t>
      </w:r>
      <w:r w:rsidRPr="007159A0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7159A0">
        <w:rPr>
          <w:rFonts w:ascii="Arial" w:hAnsi="Arial" w:cs="Arial"/>
          <w:sz w:val="22"/>
          <w:szCs w:val="22"/>
          <w:lang w:val="fr-FR"/>
        </w:rPr>
        <w:t>à l’adresse</w:t>
      </w:r>
      <w:r w:rsidRPr="007159A0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hyperlink r:id="rId9" w:history="1">
        <w:r w:rsidRPr="007159A0">
          <w:rPr>
            <w:rStyle w:val="Lienhypertexte"/>
            <w:rFonts w:ascii="Arial" w:hAnsi="Arial" w:cs="Arial"/>
            <w:sz w:val="22"/>
            <w:szCs w:val="22"/>
            <w:lang w:val="fr-FR"/>
          </w:rPr>
          <w:t>passation.marches@ute.gouv.ht</w:t>
        </w:r>
      </w:hyperlink>
      <w:r w:rsidRPr="007159A0">
        <w:rPr>
          <w:rFonts w:ascii="Arial" w:hAnsi="Arial" w:cs="Arial"/>
          <w:sz w:val="22"/>
          <w:szCs w:val="22"/>
          <w:lang w:val="fr-FR"/>
        </w:rPr>
        <w:t xml:space="preserve">, </w:t>
      </w:r>
      <w:r w:rsidRPr="007159A0">
        <w:rPr>
          <w:rFonts w:ascii="Arial" w:hAnsi="Arial" w:cs="Arial"/>
          <w:b/>
          <w:bCs/>
          <w:spacing w:val="-3"/>
          <w:sz w:val="22"/>
          <w:szCs w:val="22"/>
          <w:u w:val="single" w:color="000000"/>
          <w:lang w:val="fr-FR"/>
        </w:rPr>
        <w:t>ou</w:t>
      </w:r>
      <w:r w:rsidRPr="007159A0">
        <w:rPr>
          <w:rFonts w:ascii="Arial" w:hAnsi="Arial" w:cs="Arial"/>
          <w:spacing w:val="27"/>
          <w:sz w:val="22"/>
          <w:szCs w:val="22"/>
          <w:lang w:val="fr-FR"/>
        </w:rPr>
        <w:t xml:space="preserve"> </w:t>
      </w:r>
    </w:p>
    <w:p w:rsidR="000D1803" w:rsidRPr="007159A0" w:rsidRDefault="000D1803" w:rsidP="000D1803">
      <w:pPr>
        <w:pStyle w:val="Corpsdetexte"/>
        <w:numPr>
          <w:ilvl w:val="0"/>
          <w:numId w:val="1"/>
        </w:numPr>
        <w:tabs>
          <w:tab w:val="left" w:pos="821"/>
        </w:tabs>
        <w:spacing w:before="121" w:line="238" w:lineRule="exact"/>
        <w:ind w:firstLine="360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3"/>
          <w:sz w:val="22"/>
          <w:szCs w:val="22"/>
          <w:u w:color="000000"/>
          <w:lang w:val="fr-FR"/>
        </w:rPr>
        <w:t xml:space="preserve">directement sur le site de l’UTE, </w:t>
      </w:r>
      <w:hyperlink r:id="rId10" w:history="1">
        <w:r w:rsidRPr="007159A0">
          <w:rPr>
            <w:rStyle w:val="Lienhypertexte"/>
            <w:rFonts w:ascii="Arial" w:hAnsi="Arial" w:cs="Arial"/>
            <w:sz w:val="22"/>
            <w:szCs w:val="22"/>
            <w:lang w:val="fr-FR"/>
          </w:rPr>
          <w:t>ute.gouv.ht</w:t>
        </w:r>
      </w:hyperlink>
      <w:r w:rsidRPr="007159A0">
        <w:rPr>
          <w:rStyle w:val="Lienhypertexte"/>
          <w:rFonts w:ascii="Arial" w:hAnsi="Arial" w:cs="Arial"/>
          <w:sz w:val="22"/>
          <w:szCs w:val="22"/>
          <w:lang w:val="fr-FR"/>
        </w:rPr>
        <w:t>, section « Recrutements ».</w:t>
      </w:r>
    </w:p>
    <w:p w:rsidR="000D1803" w:rsidRPr="007159A0" w:rsidRDefault="000D1803" w:rsidP="000D1803">
      <w:pPr>
        <w:spacing w:before="480" w:after="120"/>
        <w:jc w:val="both"/>
        <w:rPr>
          <w:rFonts w:ascii="Arial" w:hAnsi="Arial" w:cs="Arial"/>
          <w:lang w:val="fr-FR"/>
        </w:rPr>
      </w:pPr>
      <w:r w:rsidRPr="007159A0">
        <w:rPr>
          <w:rFonts w:ascii="Arial" w:hAnsi="Arial" w:cs="Arial"/>
          <w:b/>
          <w:lang w:val="fr-FR"/>
        </w:rPr>
        <w:t>N.B.</w:t>
      </w:r>
      <w:r w:rsidRPr="007159A0">
        <w:rPr>
          <w:rFonts w:ascii="Arial" w:hAnsi="Arial" w:cs="Arial"/>
          <w:lang w:val="fr-FR"/>
        </w:rPr>
        <w:t xml:space="preserve">  </w:t>
      </w:r>
    </w:p>
    <w:p w:rsidR="000D1803" w:rsidRPr="007159A0" w:rsidRDefault="000D1803" w:rsidP="000D18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7159A0">
        <w:rPr>
          <w:rFonts w:ascii="Arial" w:hAnsi="Arial" w:cs="Arial"/>
          <w:lang w:val="fr-FR"/>
        </w:rPr>
        <w:t>Le candidat qui sera classé premier sera contacté en vue de soumettre une proposition technique.</w:t>
      </w:r>
      <w:r w:rsidRPr="000D1803">
        <w:rPr>
          <w:rFonts w:ascii="Arial" w:hAnsi="Arial" w:cs="Arial"/>
          <w:lang w:val="fr-FR"/>
        </w:rPr>
        <w:t xml:space="preserve"> Présentant sa compréhension de la mission, la méthodologie d’approche et un chronogramme d’activité avec échéance</w:t>
      </w:r>
    </w:p>
    <w:p w:rsidR="000D1803" w:rsidRPr="00106485" w:rsidRDefault="000D1803" w:rsidP="00106485">
      <w:pPr>
        <w:pStyle w:val="Corpsdetexte"/>
        <w:spacing w:before="1080"/>
        <w:ind w:left="6312"/>
        <w:rPr>
          <w:rFonts w:ascii="Arial" w:hAnsi="Arial" w:cs="Arial"/>
          <w:sz w:val="22"/>
          <w:szCs w:val="22"/>
          <w:lang w:val="fr-FR"/>
        </w:rPr>
      </w:pPr>
      <w:r w:rsidRPr="007159A0">
        <w:rPr>
          <w:rFonts w:ascii="Arial" w:hAnsi="Arial" w:cs="Arial"/>
          <w:spacing w:val="-1"/>
          <w:sz w:val="22"/>
          <w:szCs w:val="22"/>
          <w:lang w:val="fr-FR"/>
        </w:rPr>
        <w:t>UTE-MEF</w:t>
      </w:r>
    </w:p>
    <w:p w:rsidR="003C02FE" w:rsidRDefault="003C02FE"/>
    <w:sectPr w:rsidR="003C02FE" w:rsidSect="00FE0499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3A" w:rsidRDefault="00A7123A" w:rsidP="000D1803">
      <w:r>
        <w:separator/>
      </w:r>
    </w:p>
  </w:endnote>
  <w:endnote w:type="continuationSeparator" w:id="0">
    <w:p w:rsidR="00A7123A" w:rsidRDefault="00A7123A" w:rsidP="000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3A" w:rsidRDefault="00A7123A" w:rsidP="000D1803">
      <w:r>
        <w:separator/>
      </w:r>
    </w:p>
  </w:footnote>
  <w:footnote w:type="continuationSeparator" w:id="0">
    <w:p w:rsidR="00A7123A" w:rsidRDefault="00A7123A" w:rsidP="000D1803">
      <w:r>
        <w:continuationSeparator/>
      </w:r>
    </w:p>
  </w:footnote>
  <w:footnote w:id="1">
    <w:p w:rsidR="000D1803" w:rsidRPr="00995425" w:rsidRDefault="000D1803" w:rsidP="000D180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95425">
        <w:rPr>
          <w:lang w:val="fr-FR"/>
        </w:rPr>
        <w:t xml:space="preserve"> </w:t>
      </w:r>
      <w:r w:rsidRPr="00995425">
        <w:rPr>
          <w:rFonts w:ascii="Georgia" w:hAnsi="Georgia"/>
          <w:lang w:val="fr-FR"/>
        </w:rPr>
        <w:t xml:space="preserve">Accessible via le lien suivant : </w:t>
      </w:r>
      <w:r w:rsidRPr="000A1852">
        <w:rPr>
          <w:rFonts w:ascii="Georgia" w:hAnsi="Georgia"/>
          <w:lang w:val="fr-FR"/>
        </w:rPr>
        <w:t>www.iadb</w:t>
      </w:r>
      <w:r>
        <w:rPr>
          <w:rFonts w:ascii="Georgia" w:hAnsi="Georgia"/>
          <w:lang w:val="fr-FR"/>
        </w:rPr>
        <w:t>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680"/>
    <w:multiLevelType w:val="hybridMultilevel"/>
    <w:tmpl w:val="5EE83F76"/>
    <w:lvl w:ilvl="0" w:tplc="FB9E9444">
      <w:start w:val="1"/>
      <w:numFmt w:val="lowerLetter"/>
      <w:lvlText w:val="%1)"/>
      <w:lvlJc w:val="left"/>
      <w:pPr>
        <w:ind w:left="100" w:hanging="360"/>
      </w:pPr>
      <w:rPr>
        <w:rFonts w:ascii="Georgia" w:eastAsia="Georgia" w:hAnsi="Georgia" w:hint="default"/>
        <w:spacing w:val="-1"/>
        <w:sz w:val="21"/>
        <w:szCs w:val="21"/>
      </w:rPr>
    </w:lvl>
    <w:lvl w:ilvl="1" w:tplc="7890B564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5FF8098C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AF46A94C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70F840E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CDE0818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746026AC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A0A5D16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949E097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14A35587"/>
    <w:multiLevelType w:val="hybridMultilevel"/>
    <w:tmpl w:val="ED04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3"/>
    <w:rsid w:val="000D1803"/>
    <w:rsid w:val="00106485"/>
    <w:rsid w:val="001D2480"/>
    <w:rsid w:val="003247B9"/>
    <w:rsid w:val="003C02FE"/>
    <w:rsid w:val="006C2A95"/>
    <w:rsid w:val="007420A5"/>
    <w:rsid w:val="00754481"/>
    <w:rsid w:val="007C01F5"/>
    <w:rsid w:val="00A7123A"/>
    <w:rsid w:val="00B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6D3F"/>
  <w15:chartTrackingRefBased/>
  <w15:docId w15:val="{FF32EDEF-42B4-4533-AFF6-DE1836B8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03"/>
    <w:pPr>
      <w:widowControl w:val="0"/>
      <w:spacing w:after="0" w:line="240" w:lineRule="auto"/>
    </w:pPr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D1803"/>
    <w:pPr>
      <w:ind w:left="100"/>
    </w:pPr>
    <w:rPr>
      <w:rFonts w:ascii="Georgia" w:eastAsia="Georgia" w:hAnsi="Georgi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0D1803"/>
    <w:rPr>
      <w:rFonts w:ascii="Georgia" w:eastAsia="Georgia" w:hAnsi="Georgia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0D1803"/>
  </w:style>
  <w:style w:type="character" w:styleId="Lienhypertexte">
    <w:name w:val="Hyperlink"/>
    <w:basedOn w:val="Policepardfaut"/>
    <w:uiPriority w:val="99"/>
    <w:unhideWhenUsed/>
    <w:rsid w:val="000D180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18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1803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1803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6C2A95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6C2A95"/>
  </w:style>
  <w:style w:type="character" w:styleId="Lienhypertextesuivivisit">
    <w:name w:val="FollowedHyperlink"/>
    <w:basedOn w:val="Policepardfaut"/>
    <w:uiPriority w:val="99"/>
    <w:semiHidden/>
    <w:unhideWhenUsed/>
    <w:rsid w:val="001D2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e.gouv.ht/wp-content/uploads/2024/03/20240229-dsci-sci-cc-pip-v-008-ci-campagne-sensibilisation-harcelement-sexue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ssation.marches@ute.gouv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sation.marches@ute.gouv.h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LOVELY JOSEPH</cp:lastModifiedBy>
  <cp:revision>2</cp:revision>
  <dcterms:created xsi:type="dcterms:W3CDTF">2024-04-04T17:32:00Z</dcterms:created>
  <dcterms:modified xsi:type="dcterms:W3CDTF">2024-04-04T17:32:00Z</dcterms:modified>
</cp:coreProperties>
</file>