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F86A2" w14:textId="30A79F2C" w:rsidR="00D90E26" w:rsidRPr="00002477" w:rsidRDefault="00D90E26" w:rsidP="006852B3">
      <w:pPr>
        <w:spacing w:afterLines="120" w:after="288" w:line="240" w:lineRule="auto"/>
        <w:jc w:val="both"/>
        <w:rPr>
          <w:rFonts w:cstheme="minorHAnsi"/>
          <w:shd w:val="clear" w:color="auto" w:fill="FFFFFF"/>
          <w:lang w:val="en-US"/>
        </w:rPr>
      </w:pPr>
    </w:p>
    <w:p w14:paraId="03D09043" w14:textId="320EBF2D" w:rsidR="00B77459" w:rsidRPr="00002477" w:rsidRDefault="00B77459" w:rsidP="00BB0351">
      <w:pPr>
        <w:spacing w:afterLines="120" w:after="288" w:line="240" w:lineRule="auto"/>
        <w:jc w:val="center"/>
        <w:rPr>
          <w:rFonts w:cstheme="minorHAnsi"/>
          <w:b/>
          <w:bCs/>
          <w:lang w:val="fr-FR"/>
        </w:rPr>
      </w:pPr>
      <w:r w:rsidRPr="00002477">
        <w:rPr>
          <w:rFonts w:cstheme="minorHAnsi"/>
          <w:b/>
          <w:bCs/>
          <w:lang w:val="fr-FR"/>
        </w:rPr>
        <w:t>GO</w:t>
      </w:r>
      <w:r w:rsidR="006408A4" w:rsidRPr="00002477">
        <w:rPr>
          <w:rFonts w:cstheme="minorHAnsi"/>
          <w:b/>
          <w:bCs/>
          <w:lang w:val="fr-FR"/>
        </w:rPr>
        <w:t>U</w:t>
      </w:r>
      <w:r w:rsidRPr="00002477">
        <w:rPr>
          <w:rFonts w:cstheme="minorHAnsi"/>
          <w:b/>
          <w:bCs/>
          <w:lang w:val="fr-FR"/>
        </w:rPr>
        <w:t>VERN</w:t>
      </w:r>
      <w:r w:rsidR="006408A4" w:rsidRPr="00002477">
        <w:rPr>
          <w:rFonts w:cstheme="minorHAnsi"/>
          <w:b/>
          <w:bCs/>
          <w:lang w:val="fr-FR"/>
        </w:rPr>
        <w:t>E</w:t>
      </w:r>
      <w:r w:rsidRPr="00002477">
        <w:rPr>
          <w:rFonts w:cstheme="minorHAnsi"/>
          <w:b/>
          <w:bCs/>
          <w:lang w:val="fr-FR"/>
        </w:rPr>
        <w:t xml:space="preserve">MENT </w:t>
      </w:r>
      <w:r w:rsidR="00BB0351" w:rsidRPr="00002477">
        <w:rPr>
          <w:rFonts w:cstheme="minorHAnsi"/>
          <w:b/>
          <w:bCs/>
          <w:lang w:val="fr-FR"/>
        </w:rPr>
        <w:t>de</w:t>
      </w:r>
      <w:r w:rsidRPr="00002477">
        <w:rPr>
          <w:rFonts w:cstheme="minorHAnsi"/>
          <w:b/>
          <w:bCs/>
          <w:lang w:val="fr-FR"/>
        </w:rPr>
        <w:t xml:space="preserve"> HAITI</w:t>
      </w:r>
    </w:p>
    <w:p w14:paraId="6BF6E6C1" w14:textId="70F10E7B" w:rsidR="007D1891" w:rsidRPr="00002477" w:rsidRDefault="00B07BAE" w:rsidP="00BB0351">
      <w:pPr>
        <w:spacing w:afterLines="120" w:after="288" w:line="240" w:lineRule="auto"/>
        <w:jc w:val="center"/>
        <w:rPr>
          <w:rFonts w:cstheme="minorHAnsi"/>
          <w:b/>
          <w:bCs/>
          <w:lang w:val="fr-FR"/>
        </w:rPr>
      </w:pPr>
      <w:r w:rsidRPr="00002477">
        <w:rPr>
          <w:rFonts w:cstheme="minorHAnsi"/>
          <w:b/>
          <w:bCs/>
          <w:lang w:val="fr-FR"/>
        </w:rPr>
        <w:t>Term</w:t>
      </w:r>
      <w:r w:rsidR="00BB0351" w:rsidRPr="00002477">
        <w:rPr>
          <w:rFonts w:cstheme="minorHAnsi"/>
          <w:b/>
          <w:bCs/>
          <w:lang w:val="fr-FR"/>
        </w:rPr>
        <w:t>e</w:t>
      </w:r>
      <w:r w:rsidRPr="00002477">
        <w:rPr>
          <w:rFonts w:cstheme="minorHAnsi"/>
          <w:b/>
          <w:bCs/>
          <w:lang w:val="fr-FR"/>
        </w:rPr>
        <w:t>s of R</w:t>
      </w:r>
      <w:r w:rsidR="00BB0351" w:rsidRPr="00002477">
        <w:rPr>
          <w:rFonts w:cstheme="minorHAnsi"/>
          <w:b/>
          <w:bCs/>
          <w:lang w:val="fr-FR"/>
        </w:rPr>
        <w:t>é</w:t>
      </w:r>
      <w:r w:rsidRPr="00002477">
        <w:rPr>
          <w:rFonts w:cstheme="minorHAnsi"/>
          <w:b/>
          <w:bCs/>
          <w:lang w:val="fr-FR"/>
        </w:rPr>
        <w:t>f</w:t>
      </w:r>
      <w:r w:rsidR="00BB0351" w:rsidRPr="00002477">
        <w:rPr>
          <w:rFonts w:cstheme="minorHAnsi"/>
          <w:b/>
          <w:bCs/>
          <w:lang w:val="fr-FR"/>
        </w:rPr>
        <w:t>é</w:t>
      </w:r>
      <w:r w:rsidRPr="00002477">
        <w:rPr>
          <w:rFonts w:cstheme="minorHAnsi"/>
          <w:b/>
          <w:bCs/>
          <w:lang w:val="fr-FR"/>
        </w:rPr>
        <w:t>rence</w:t>
      </w:r>
    </w:p>
    <w:p w14:paraId="6E9744C1" w14:textId="0F845AF4" w:rsidR="0040487E" w:rsidRDefault="00ED18FD" w:rsidP="00BB0351">
      <w:pPr>
        <w:spacing w:afterLines="120" w:after="288" w:line="240" w:lineRule="auto"/>
        <w:jc w:val="center"/>
        <w:rPr>
          <w:rFonts w:cstheme="minorHAnsi"/>
          <w:b/>
          <w:bCs/>
          <w:lang w:val="fr-FR"/>
        </w:rPr>
      </w:pPr>
      <w:r>
        <w:rPr>
          <w:rFonts w:cstheme="minorHAnsi"/>
          <w:b/>
          <w:bCs/>
          <w:lang w:val="fr-FR"/>
        </w:rPr>
        <w:t xml:space="preserve">Pour la réalisation d’une </w:t>
      </w:r>
      <w:r w:rsidR="00711B05" w:rsidRPr="00002477">
        <w:rPr>
          <w:rFonts w:cstheme="minorHAnsi"/>
          <w:b/>
          <w:bCs/>
          <w:lang w:val="fr-FR"/>
        </w:rPr>
        <w:t xml:space="preserve">Consultation sur l'élaboration d'un </w:t>
      </w:r>
    </w:p>
    <w:p w14:paraId="20BFF047" w14:textId="70E1205D" w:rsidR="00711B05" w:rsidRPr="00002477" w:rsidRDefault="000572A2" w:rsidP="0040487E">
      <w:pPr>
        <w:spacing w:afterLines="120" w:after="288" w:line="240" w:lineRule="auto"/>
        <w:jc w:val="center"/>
        <w:rPr>
          <w:rFonts w:cstheme="minorHAnsi"/>
          <w:b/>
          <w:bCs/>
          <w:lang w:val="fr-FR"/>
        </w:rPr>
      </w:pPr>
      <w:r>
        <w:rPr>
          <w:rFonts w:cstheme="minorHAnsi"/>
          <w:b/>
          <w:bCs/>
          <w:lang w:val="fr-FR"/>
        </w:rPr>
        <w:t>C</w:t>
      </w:r>
      <w:r w:rsidR="00711B05" w:rsidRPr="00002477">
        <w:rPr>
          <w:rFonts w:cstheme="minorHAnsi"/>
          <w:b/>
          <w:bCs/>
          <w:lang w:val="fr-FR"/>
        </w:rPr>
        <w:t xml:space="preserve">adre </w:t>
      </w:r>
      <w:r>
        <w:rPr>
          <w:rFonts w:cstheme="minorHAnsi"/>
          <w:b/>
          <w:bCs/>
          <w:lang w:val="fr-FR"/>
        </w:rPr>
        <w:t>N</w:t>
      </w:r>
      <w:r w:rsidR="00711B05" w:rsidRPr="00002477">
        <w:rPr>
          <w:rFonts w:cstheme="minorHAnsi"/>
          <w:b/>
          <w:bCs/>
          <w:lang w:val="fr-FR"/>
        </w:rPr>
        <w:t xml:space="preserve">ational de </w:t>
      </w:r>
      <w:r>
        <w:rPr>
          <w:rFonts w:cstheme="minorHAnsi"/>
          <w:b/>
          <w:bCs/>
          <w:lang w:val="fr-FR"/>
        </w:rPr>
        <w:t>R</w:t>
      </w:r>
      <w:r w:rsidR="009C009C" w:rsidRPr="00002477">
        <w:rPr>
          <w:rFonts w:cstheme="minorHAnsi"/>
          <w:b/>
          <w:bCs/>
          <w:lang w:val="fr-FR"/>
        </w:rPr>
        <w:t>elance</w:t>
      </w:r>
      <w:r w:rsidR="00711B05" w:rsidRPr="00002477">
        <w:rPr>
          <w:rFonts w:cstheme="minorHAnsi"/>
          <w:b/>
          <w:bCs/>
          <w:lang w:val="fr-FR"/>
        </w:rPr>
        <w:t xml:space="preserve"> du </w:t>
      </w:r>
      <w:r>
        <w:rPr>
          <w:rFonts w:cstheme="minorHAnsi"/>
          <w:b/>
          <w:bCs/>
          <w:lang w:val="fr-FR"/>
        </w:rPr>
        <w:t>L</w:t>
      </w:r>
      <w:r w:rsidR="00711B05" w:rsidRPr="00002477">
        <w:rPr>
          <w:rFonts w:cstheme="minorHAnsi"/>
          <w:b/>
          <w:bCs/>
          <w:lang w:val="fr-FR"/>
        </w:rPr>
        <w:t>ogement et de</w:t>
      </w:r>
      <w:r w:rsidR="00477AA3">
        <w:rPr>
          <w:rFonts w:cstheme="minorHAnsi"/>
          <w:b/>
          <w:bCs/>
          <w:lang w:val="fr-FR"/>
        </w:rPr>
        <w:t xml:space="preserve"> R</w:t>
      </w:r>
      <w:r w:rsidR="00711B05" w:rsidRPr="00002477">
        <w:rPr>
          <w:rFonts w:cstheme="minorHAnsi"/>
          <w:b/>
          <w:bCs/>
          <w:lang w:val="fr-FR"/>
        </w:rPr>
        <w:t>ésilience pour Haïti</w:t>
      </w:r>
    </w:p>
    <w:p w14:paraId="7F64772E" w14:textId="3A524C82" w:rsidR="00CD1DB0" w:rsidRPr="00002477" w:rsidRDefault="00CD1DB0" w:rsidP="00CD1DB0">
      <w:pPr>
        <w:pStyle w:val="Heading1"/>
        <w:spacing w:afterLines="120" w:after="288" w:line="240" w:lineRule="auto"/>
        <w:jc w:val="both"/>
        <w:rPr>
          <w:rFonts w:asciiTheme="minorHAnsi" w:hAnsiTheme="minorHAnsi" w:cstheme="minorHAnsi"/>
          <w:lang w:val="fr-FR"/>
        </w:rPr>
      </w:pPr>
      <w:r w:rsidRPr="00002477">
        <w:rPr>
          <w:rFonts w:asciiTheme="minorHAnsi" w:hAnsiTheme="minorHAnsi" w:cstheme="minorHAnsi"/>
          <w:lang w:val="fr-FR"/>
        </w:rPr>
        <w:t>Contexte de la résilience des logements en Haïti</w:t>
      </w:r>
      <w:r w:rsidR="002122C0" w:rsidRPr="00002477">
        <w:rPr>
          <w:rStyle w:val="FootnoteReference"/>
          <w:rFonts w:asciiTheme="minorHAnsi" w:hAnsiTheme="minorHAnsi" w:cstheme="minorHAnsi"/>
          <w:lang w:val="fr-FR"/>
        </w:rPr>
        <w:footnoteReference w:id="1"/>
      </w:r>
    </w:p>
    <w:p w14:paraId="61FAE538" w14:textId="1FDFA385" w:rsidR="00CB0E37" w:rsidRPr="0000074C" w:rsidRDefault="00CB0E37" w:rsidP="00CB0E37">
      <w:pPr>
        <w:spacing w:afterLines="120" w:after="288" w:line="240" w:lineRule="auto"/>
        <w:jc w:val="both"/>
        <w:rPr>
          <w:rFonts w:cstheme="minorHAnsi"/>
          <w:lang w:val="fr-FR"/>
        </w:rPr>
      </w:pPr>
      <w:r w:rsidRPr="0000074C">
        <w:rPr>
          <w:rFonts w:cstheme="minorHAnsi"/>
          <w:lang w:val="fr-FR"/>
        </w:rPr>
        <w:t>Haïti est le pays le plus pauvre de l'hémisphère occidental, avec un produit intérieur brut (PIB) par habitant en termes nominaux de 890 dollars en 2018, selon le Fonds monétaire international (FMI)</w:t>
      </w:r>
      <w:r w:rsidR="002122C0" w:rsidRPr="0000074C">
        <w:rPr>
          <w:rStyle w:val="FootnoteReference"/>
          <w:rFonts w:cstheme="minorHAnsi"/>
          <w:lang w:val="fr-FR"/>
        </w:rPr>
        <w:footnoteReference w:id="2"/>
      </w:r>
      <w:r w:rsidRPr="0000074C">
        <w:rPr>
          <w:rFonts w:cstheme="minorHAnsi"/>
          <w:lang w:val="fr-FR"/>
        </w:rPr>
        <w:t xml:space="preserve">.  En 2019, le revenu national brut (RNB) d'Haïti par habitant </w:t>
      </w:r>
      <w:r w:rsidR="000F6D2E">
        <w:rPr>
          <w:rFonts w:cstheme="minorHAnsi"/>
          <w:lang w:val="fr-FR"/>
        </w:rPr>
        <w:t>(</w:t>
      </w:r>
      <w:r w:rsidRPr="0000074C">
        <w:rPr>
          <w:rFonts w:cstheme="minorHAnsi"/>
          <w:lang w:val="fr-FR"/>
        </w:rPr>
        <w:t xml:space="preserve">en </w:t>
      </w:r>
      <w:r w:rsidR="000F6D2E">
        <w:rPr>
          <w:rFonts w:cstheme="minorHAnsi"/>
          <w:lang w:val="fr-FR"/>
        </w:rPr>
        <w:t xml:space="preserve">$PPP de </w:t>
      </w:r>
      <w:r w:rsidRPr="0000074C">
        <w:rPr>
          <w:rFonts w:cstheme="minorHAnsi"/>
          <w:lang w:val="fr-FR"/>
        </w:rPr>
        <w:t>2017</w:t>
      </w:r>
      <w:r w:rsidR="00E23188">
        <w:rPr>
          <w:rFonts w:cstheme="minorHAnsi"/>
          <w:lang w:val="fr-FR"/>
        </w:rPr>
        <w:t>)</w:t>
      </w:r>
      <w:r w:rsidRPr="0000074C">
        <w:rPr>
          <w:rFonts w:cstheme="minorHAnsi"/>
          <w:lang w:val="fr-FR"/>
        </w:rPr>
        <w:t xml:space="preserve"> était de 1 709 dollars, en dessous de son niveau de 2000 (1 833 dollars), selon le rapport 2020 des Nations Unies sur l'indice de développement humain</w:t>
      </w:r>
      <w:r w:rsidR="002122C0" w:rsidRPr="0000074C">
        <w:rPr>
          <w:rStyle w:val="FootnoteReference"/>
          <w:rFonts w:cstheme="minorHAnsi"/>
          <w:lang w:val="fr-FR"/>
        </w:rPr>
        <w:footnoteReference w:id="3"/>
      </w:r>
      <w:r w:rsidRPr="0000074C">
        <w:rPr>
          <w:rFonts w:cstheme="minorHAnsi"/>
          <w:lang w:val="fr-FR"/>
        </w:rPr>
        <w:t xml:space="preserve">.  L'IDH 2019 d'Haïti est inférieur à la moyenne de 0,513 pour tous les pays du groupe de développement humain faible et inférieur à la moyenne de 0,766 pour les pays de la région Amérique latine et Caraïbes (ALC). </w:t>
      </w:r>
    </w:p>
    <w:p w14:paraId="5ECA9709" w14:textId="40408947" w:rsidR="008A0597" w:rsidRPr="0000074C" w:rsidRDefault="00CB0E37" w:rsidP="00CB0E37">
      <w:pPr>
        <w:spacing w:afterLines="120" w:after="288" w:line="240" w:lineRule="auto"/>
        <w:jc w:val="both"/>
        <w:rPr>
          <w:rFonts w:cstheme="minorHAnsi"/>
          <w:lang w:val="fr-FR"/>
        </w:rPr>
      </w:pPr>
      <w:r w:rsidRPr="0000074C">
        <w:rPr>
          <w:rFonts w:cstheme="minorHAnsi"/>
          <w:lang w:val="fr-FR"/>
        </w:rPr>
        <w:t>Les catastrophes naturelles, l'instabilité politique et la violence contribuent à la pauvreté et à la fragilité d'Haïti. La frustration populaire face aux niveaux élevés de corruption et d'inégalité a créé une crise politique et une période prolongée de troubles civils en 2019, qui a maintenant évolué vers une violence endémique et une guerre des gangs qui ont eu un impact significatif sur l'économie</w:t>
      </w:r>
      <w:r w:rsidR="002122C0" w:rsidRPr="0000074C">
        <w:rPr>
          <w:rStyle w:val="FootnoteReference"/>
          <w:rFonts w:cstheme="minorHAnsi"/>
          <w:lang w:val="fr-FR"/>
        </w:rPr>
        <w:footnoteReference w:id="4"/>
      </w:r>
      <w:r w:rsidRPr="0000074C">
        <w:rPr>
          <w:rFonts w:cstheme="minorHAnsi"/>
          <w:lang w:val="fr-FR"/>
        </w:rPr>
        <w:t>.  Au cours de la seule année 2019, la monnaie s'est dépréciée de 25 % par rapport au dollar américain.</w:t>
      </w:r>
      <w:r w:rsidR="00ED18FD">
        <w:rPr>
          <w:rFonts w:cstheme="minorHAnsi"/>
          <w:lang w:val="fr-FR"/>
        </w:rPr>
        <w:t xml:space="preserve"> Dans cette perspective le gouvernement souhaite faire appel </w:t>
      </w:r>
      <w:proofErr w:type="gramStart"/>
      <w:r w:rsidR="00ED18FD">
        <w:rPr>
          <w:rFonts w:cstheme="minorHAnsi"/>
          <w:lang w:val="fr-FR"/>
        </w:rPr>
        <w:t>a</w:t>
      </w:r>
      <w:proofErr w:type="gramEnd"/>
      <w:r w:rsidR="00ED18FD">
        <w:rPr>
          <w:rFonts w:cstheme="minorHAnsi"/>
          <w:lang w:val="fr-FR"/>
        </w:rPr>
        <w:t xml:space="preserve"> un professionnel qualifié, compétent, expérimenté pour l’</w:t>
      </w:r>
      <w:r w:rsidR="005C3D41">
        <w:rPr>
          <w:rFonts w:cstheme="minorHAnsi"/>
          <w:lang w:val="fr-FR"/>
        </w:rPr>
        <w:t>élaboration</w:t>
      </w:r>
      <w:r w:rsidR="00ED18FD">
        <w:rPr>
          <w:rFonts w:cstheme="minorHAnsi"/>
          <w:lang w:val="fr-FR"/>
        </w:rPr>
        <w:t xml:space="preserve"> de ce cadre national de relance du logement et de résilience pour Haïti</w:t>
      </w:r>
    </w:p>
    <w:p w14:paraId="280E8783" w14:textId="2F3075B0" w:rsidR="003F0C93" w:rsidRPr="0000074C" w:rsidRDefault="003F0C93" w:rsidP="003F0C93">
      <w:pPr>
        <w:spacing w:afterLines="120" w:after="288" w:line="240" w:lineRule="auto"/>
        <w:jc w:val="both"/>
        <w:rPr>
          <w:rFonts w:cstheme="minorHAnsi"/>
          <w:lang w:val="fr-FR"/>
        </w:rPr>
      </w:pPr>
      <w:r w:rsidRPr="0000074C">
        <w:rPr>
          <w:rFonts w:cstheme="minorHAnsi"/>
          <w:lang w:val="fr-FR"/>
        </w:rPr>
        <w:t>Les risques naturels sont endémiques en Haïti, notamment les ouragans, les inondations et les tremblements de terre. Plus de 93 % de sa superficie et plus de 96 % de sa population sont exposés à deux risques ou plus</w:t>
      </w:r>
      <w:r w:rsidR="002122C0" w:rsidRPr="0000074C">
        <w:rPr>
          <w:rStyle w:val="FootnoteReference"/>
          <w:rFonts w:cstheme="minorHAnsi"/>
          <w:lang w:val="fr-FR"/>
        </w:rPr>
        <w:footnoteReference w:id="5"/>
      </w:r>
      <w:r w:rsidRPr="0000074C">
        <w:rPr>
          <w:rFonts w:cstheme="minorHAnsi"/>
          <w:lang w:val="fr-FR"/>
        </w:rPr>
        <w:t xml:space="preserve">.  L'interaction des plaques tectoniques des Caraïbes et de l'Amérique du Nord est à l'origine des risques sismiques. Les glissements de terrain, les laves torrentielles, la liquéfaction des sols et les tsunamis constituent d'autres risques secondaires. Le Grand Sud, qui comprend les départements de la Grande Anse, des Nippes et du Sud, est fortement exposé aux ouragans et aux inondations qui en découlent, tandis que les départements du Nord et du </w:t>
      </w:r>
      <w:r w:rsidR="009C009C" w:rsidRPr="0000074C">
        <w:rPr>
          <w:rFonts w:cstheme="minorHAnsi"/>
          <w:lang w:val="fr-FR"/>
        </w:rPr>
        <w:t>Nord-Ouest</w:t>
      </w:r>
      <w:r w:rsidRPr="0000074C">
        <w:rPr>
          <w:rFonts w:cstheme="minorHAnsi"/>
          <w:lang w:val="fr-FR"/>
        </w:rPr>
        <w:t xml:space="preserve"> sont fortement exposés aux inondations et aux tsunamis. </w:t>
      </w:r>
    </w:p>
    <w:p w14:paraId="7FEFBC15" w14:textId="733FF04F" w:rsidR="003F0C93" w:rsidRPr="0000074C" w:rsidRDefault="003F0C93" w:rsidP="003F0C93">
      <w:pPr>
        <w:spacing w:afterLines="120" w:after="288" w:line="240" w:lineRule="auto"/>
        <w:jc w:val="both"/>
        <w:rPr>
          <w:rFonts w:cstheme="minorHAnsi"/>
          <w:lang w:val="fr-FR"/>
        </w:rPr>
      </w:pPr>
      <w:r w:rsidRPr="0000074C">
        <w:rPr>
          <w:rFonts w:cstheme="minorHAnsi"/>
          <w:lang w:val="fr-FR"/>
        </w:rPr>
        <w:lastRenderedPageBreak/>
        <w:t>Les impacts humains et économiques des risques hydrométéorologiques et sismiques ont été très importants au cours des deux dernières décennies, en raison de la vulnérabilité des infrastructures haïtiennes, de l'expansion urbaine non planifiée et de la fragilité des institutions</w:t>
      </w:r>
      <w:r w:rsidR="002122C0" w:rsidRPr="0000074C">
        <w:rPr>
          <w:rStyle w:val="FootnoteReference"/>
          <w:rFonts w:cstheme="minorHAnsi"/>
          <w:lang w:val="fr-FR"/>
        </w:rPr>
        <w:footnoteReference w:id="6"/>
      </w:r>
      <w:r w:rsidRPr="0000074C">
        <w:rPr>
          <w:rFonts w:cstheme="minorHAnsi"/>
          <w:lang w:val="fr-FR"/>
        </w:rPr>
        <w:t xml:space="preserve">.  Selon le </w:t>
      </w:r>
      <w:proofErr w:type="spellStart"/>
      <w:r w:rsidRPr="0000074C">
        <w:rPr>
          <w:rFonts w:cstheme="minorHAnsi"/>
          <w:lang w:val="fr-FR"/>
        </w:rPr>
        <w:t>Germanwatch</w:t>
      </w:r>
      <w:proofErr w:type="spellEnd"/>
      <w:r w:rsidRPr="0000074C">
        <w:rPr>
          <w:rFonts w:cstheme="minorHAnsi"/>
          <w:lang w:val="fr-FR"/>
        </w:rPr>
        <w:t xml:space="preserve"> Global </w:t>
      </w:r>
      <w:proofErr w:type="spellStart"/>
      <w:r w:rsidRPr="0000074C">
        <w:rPr>
          <w:rFonts w:cstheme="minorHAnsi"/>
          <w:lang w:val="fr-FR"/>
        </w:rPr>
        <w:t>Climate</w:t>
      </w:r>
      <w:proofErr w:type="spellEnd"/>
      <w:r w:rsidRPr="0000074C">
        <w:rPr>
          <w:rFonts w:cstheme="minorHAnsi"/>
          <w:lang w:val="fr-FR"/>
        </w:rPr>
        <w:t xml:space="preserve"> </w:t>
      </w:r>
      <w:proofErr w:type="spellStart"/>
      <w:r w:rsidRPr="0000074C">
        <w:rPr>
          <w:rFonts w:cstheme="minorHAnsi"/>
          <w:lang w:val="fr-FR"/>
        </w:rPr>
        <w:t>Risk</w:t>
      </w:r>
      <w:proofErr w:type="spellEnd"/>
      <w:r w:rsidRPr="0000074C">
        <w:rPr>
          <w:rFonts w:cstheme="minorHAnsi"/>
          <w:lang w:val="fr-FR"/>
        </w:rPr>
        <w:t xml:space="preserve"> Index 2021, Haïti a été le troisième pays le plus touché par les événements climatiques entre 2000 et 2019</w:t>
      </w:r>
      <w:r w:rsidR="002122C0" w:rsidRPr="0000074C">
        <w:rPr>
          <w:rStyle w:val="FootnoteReference"/>
          <w:rFonts w:cstheme="minorHAnsi"/>
          <w:lang w:val="fr-FR"/>
        </w:rPr>
        <w:footnoteReference w:id="7"/>
      </w:r>
      <w:r w:rsidRPr="0000074C">
        <w:rPr>
          <w:rFonts w:cstheme="minorHAnsi"/>
          <w:lang w:val="fr-FR"/>
        </w:rPr>
        <w:t xml:space="preserve">.   En raison de la crise internationale résultant de la pandémie de SRAS-COV2 (COVID-19), entre autres facteurs, l'économie haïtienne s'est contractée de 1,7 % au cours de l'exercice 2018-19, et de 3,3 % au cours de l'exercice </w:t>
      </w:r>
      <w:r w:rsidR="00963996" w:rsidRPr="0000074C">
        <w:rPr>
          <w:rFonts w:cstheme="minorHAnsi"/>
          <w:lang w:val="fr-FR"/>
        </w:rPr>
        <w:t xml:space="preserve">budgétaire </w:t>
      </w:r>
      <w:r w:rsidRPr="0000074C">
        <w:rPr>
          <w:rFonts w:cstheme="minorHAnsi"/>
          <w:lang w:val="fr-FR"/>
        </w:rPr>
        <w:t>2019-20.</w:t>
      </w:r>
    </w:p>
    <w:p w14:paraId="3EFF63C9" w14:textId="5A52555F" w:rsidR="00083F56" w:rsidRPr="0000074C" w:rsidRDefault="00083F56" w:rsidP="00083F56">
      <w:pPr>
        <w:spacing w:afterLines="120" w:after="288" w:line="240" w:lineRule="auto"/>
        <w:jc w:val="both"/>
        <w:rPr>
          <w:rFonts w:cstheme="minorHAnsi"/>
          <w:lang w:val="fr-FR"/>
        </w:rPr>
      </w:pPr>
      <w:r w:rsidRPr="0000074C">
        <w:rPr>
          <w:rFonts w:cstheme="minorHAnsi"/>
          <w:lang w:val="fr-FR"/>
        </w:rPr>
        <w:t xml:space="preserve">Ces conditions économiques, politiques et environnementales affectent les ménages et le secteur du logement, à la fois directement et indirectement. Chaque année, les risques naturels détruisent et endommagent un parc de logements déjà insuffisant en quantité et en qualité. </w:t>
      </w:r>
    </w:p>
    <w:p w14:paraId="41B2E62E" w14:textId="66A3D9D4" w:rsidR="00083F56" w:rsidRPr="0000074C" w:rsidRDefault="00083F56" w:rsidP="00083F56">
      <w:pPr>
        <w:spacing w:afterLines="120" w:after="288" w:line="240" w:lineRule="auto"/>
        <w:jc w:val="both"/>
        <w:rPr>
          <w:rFonts w:cstheme="minorHAnsi"/>
          <w:lang w:val="fr-FR"/>
        </w:rPr>
      </w:pPr>
      <w:r w:rsidRPr="0000074C">
        <w:rPr>
          <w:rFonts w:cstheme="minorHAnsi"/>
          <w:lang w:val="fr-FR"/>
        </w:rPr>
        <w:t>L'impact extrême des risques naturels sur le logement au cours des douze dernières années a encouragé le gouvernement à renforcer ses capacités dans le secteur du logement qui n'existaient pas auparavant. En conséquence, les réformes institutionnelles et les améliorations apportées à la formation, aux concepts de conception des logements et aux méthodologies de mise en œuvre sont testées et développées au niveau technique. En conséquence, l'expérience acquise dans le cadre des projets de reconstruction de logements a servi de base à l'élaboration d'une politique émergente et d'un cadre opérationnel pour le secteur du logement au sens large, qui sont pertinents pour Haïti.</w:t>
      </w:r>
    </w:p>
    <w:p w14:paraId="6E01701F" w14:textId="7DB82C37" w:rsidR="009206F9" w:rsidRPr="0000074C" w:rsidRDefault="009206F9" w:rsidP="009206F9">
      <w:pPr>
        <w:spacing w:afterLines="120" w:after="288" w:line="240" w:lineRule="auto"/>
        <w:jc w:val="both"/>
        <w:rPr>
          <w:rFonts w:cstheme="minorHAnsi"/>
          <w:lang w:val="fr-FR"/>
        </w:rPr>
      </w:pPr>
      <w:r w:rsidRPr="0000074C">
        <w:rPr>
          <w:rFonts w:cstheme="minorHAnsi"/>
          <w:lang w:val="fr-FR"/>
        </w:rPr>
        <w:t xml:space="preserve">Comme dans tous les pays, la demande de nouvelles unités de logement est alimentée par deux facteurs principaux : la croissance démographique et la </w:t>
      </w:r>
      <w:r w:rsidR="00FC1591" w:rsidRPr="0000074C">
        <w:rPr>
          <w:rFonts w:cstheme="minorHAnsi"/>
          <w:lang w:val="fr-FR"/>
        </w:rPr>
        <w:t>taille</w:t>
      </w:r>
      <w:r w:rsidRPr="0000074C">
        <w:rPr>
          <w:rFonts w:cstheme="minorHAnsi"/>
          <w:lang w:val="fr-FR"/>
        </w:rPr>
        <w:t xml:space="preserve"> des ménages. La demande en Haïti résulte également des dommages et de la destruction des logements en raison de l'exposition des logements de mauvaise qualité aux risques naturels. Des catastrophes majeures et mineures chroniques affectent régulièrement le parc de logements en Haïti. </w:t>
      </w:r>
    </w:p>
    <w:p w14:paraId="1531508D" w14:textId="483757B6" w:rsidR="009206F9" w:rsidRPr="0000074C" w:rsidRDefault="009206F9" w:rsidP="009206F9">
      <w:pPr>
        <w:spacing w:afterLines="120" w:after="288" w:line="240" w:lineRule="auto"/>
        <w:jc w:val="both"/>
        <w:rPr>
          <w:rFonts w:cstheme="minorHAnsi"/>
          <w:lang w:val="fr-FR"/>
        </w:rPr>
      </w:pPr>
      <w:r w:rsidRPr="0000074C">
        <w:rPr>
          <w:rFonts w:cstheme="minorHAnsi"/>
          <w:lang w:val="fr-FR"/>
        </w:rPr>
        <w:t>Malgré le faible niveau de revenu de la population et la pénurie de travailleurs qualifiés, la production de logements en Haïti est une source importante d'emplois. Cependant, la quasi-totalité des logements est produite de manière informelle dans des quartiers informels, sans titres fonciers, sans permis de construire, ni aucun contrôle sur les matériaux de construction ou les méthodes de construction.</w:t>
      </w:r>
    </w:p>
    <w:p w14:paraId="0D79528C" w14:textId="12FA71F2" w:rsidR="00421DD6" w:rsidRPr="00002477" w:rsidRDefault="00421DD6" w:rsidP="00421DD6">
      <w:pPr>
        <w:pStyle w:val="Heading1"/>
        <w:spacing w:afterLines="120" w:after="288" w:line="240" w:lineRule="auto"/>
        <w:jc w:val="both"/>
        <w:rPr>
          <w:rFonts w:asciiTheme="minorHAnsi" w:hAnsiTheme="minorHAnsi" w:cstheme="minorHAnsi"/>
          <w:lang w:val="fr-FR"/>
        </w:rPr>
      </w:pPr>
      <w:r w:rsidRPr="00002477">
        <w:rPr>
          <w:rFonts w:asciiTheme="minorHAnsi" w:hAnsiTheme="minorHAnsi" w:cstheme="minorHAnsi"/>
          <w:lang w:val="fr-FR"/>
        </w:rPr>
        <w:t>Contexte politique de la consultation</w:t>
      </w:r>
    </w:p>
    <w:p w14:paraId="6F479506" w14:textId="2A21BBB0" w:rsidR="001177E3" w:rsidRPr="0000074C" w:rsidRDefault="001177E3" w:rsidP="001177E3">
      <w:pPr>
        <w:spacing w:afterLines="120" w:after="288" w:line="240" w:lineRule="auto"/>
        <w:jc w:val="both"/>
        <w:rPr>
          <w:rFonts w:cstheme="minorHAnsi"/>
          <w:lang w:val="fr-FR"/>
        </w:rPr>
      </w:pPr>
      <w:r w:rsidRPr="0000074C">
        <w:rPr>
          <w:rFonts w:cstheme="minorHAnsi"/>
          <w:lang w:val="fr-FR"/>
        </w:rPr>
        <w:t>En 2012, le gouvernement haïtien a élaboré la Politique Nationale du Logement et de l'Habitat (PNLH), la première du genre dans le pays</w:t>
      </w:r>
      <w:r w:rsidR="00C634D2" w:rsidRPr="0000074C">
        <w:rPr>
          <w:rStyle w:val="FootnoteReference"/>
          <w:rFonts w:cstheme="minorHAnsi"/>
          <w:lang w:val="fr-FR"/>
        </w:rPr>
        <w:footnoteReference w:id="8"/>
      </w:r>
      <w:r w:rsidRPr="0000074C">
        <w:rPr>
          <w:rFonts w:cstheme="minorHAnsi"/>
          <w:lang w:val="fr-FR"/>
        </w:rPr>
        <w:t xml:space="preserve">. La définition de cette politique représentait un effort pour atteindre un consensus sur les buts et les objectifs à long terme pour le secteur du logement, en particulier pour le logement des familles à faible revenu. En 2018, l'UCLBP a élaboré une boîte à outils pour les abris </w:t>
      </w:r>
      <w:r w:rsidR="00FD2618" w:rsidRPr="0000074C">
        <w:rPr>
          <w:rFonts w:cstheme="minorHAnsi"/>
          <w:lang w:val="fr-FR"/>
        </w:rPr>
        <w:t xml:space="preserve">d’urgence </w:t>
      </w:r>
      <w:r w:rsidRPr="0000074C">
        <w:rPr>
          <w:rFonts w:cstheme="minorHAnsi"/>
          <w:lang w:val="fr-FR"/>
        </w:rPr>
        <w:t xml:space="preserve">qui définit des objectifs pour les projets de logement humanitaire basés sur les principes du </w:t>
      </w:r>
      <w:proofErr w:type="spellStart"/>
      <w:r w:rsidRPr="0000074C">
        <w:rPr>
          <w:rFonts w:cstheme="minorHAnsi"/>
          <w:lang w:val="fr-FR"/>
        </w:rPr>
        <w:t>Build</w:t>
      </w:r>
      <w:proofErr w:type="spellEnd"/>
      <w:r w:rsidRPr="0000074C">
        <w:rPr>
          <w:rFonts w:cstheme="minorHAnsi"/>
          <w:lang w:val="fr-FR"/>
        </w:rPr>
        <w:t xml:space="preserve"> Back </w:t>
      </w:r>
      <w:proofErr w:type="spellStart"/>
      <w:r w:rsidRPr="0000074C">
        <w:rPr>
          <w:rFonts w:cstheme="minorHAnsi"/>
          <w:lang w:val="fr-FR"/>
        </w:rPr>
        <w:t>Better</w:t>
      </w:r>
      <w:proofErr w:type="spellEnd"/>
      <w:r w:rsidRPr="0000074C">
        <w:rPr>
          <w:rFonts w:cstheme="minorHAnsi"/>
          <w:lang w:val="fr-FR"/>
        </w:rPr>
        <w:t xml:space="preserve"> et le concept de maisons à noyau extensible, également appelé </w:t>
      </w:r>
      <w:r w:rsidR="00816FD6" w:rsidRPr="0000074C">
        <w:rPr>
          <w:rFonts w:cstheme="minorHAnsi"/>
          <w:lang w:val="fr-FR"/>
        </w:rPr>
        <w:t>« </w:t>
      </w:r>
      <w:r w:rsidR="00816FD6" w:rsidRPr="0000074C">
        <w:rPr>
          <w:rFonts w:cstheme="minorHAnsi"/>
          <w:color w:val="000000" w:themeColor="text1"/>
          <w:lang w:val="fr-FR"/>
        </w:rPr>
        <w:t xml:space="preserve">Technique de </w:t>
      </w:r>
      <w:r w:rsidR="00816FD6" w:rsidRPr="0000074C">
        <w:rPr>
          <w:rFonts w:cstheme="minorHAnsi"/>
          <w:color w:val="000000" w:themeColor="text1"/>
          <w:lang w:val="fr-FR"/>
        </w:rPr>
        <w:lastRenderedPageBreak/>
        <w:t>Construction Local Améliorée »</w:t>
      </w:r>
      <w:r w:rsidRPr="0000074C">
        <w:rPr>
          <w:rFonts w:cstheme="minorHAnsi"/>
          <w:lang w:val="fr-FR"/>
        </w:rPr>
        <w:t xml:space="preserve"> (TCLA pour les zones rurales)</w:t>
      </w:r>
      <w:r w:rsidR="00C634D2" w:rsidRPr="0000074C">
        <w:rPr>
          <w:rStyle w:val="FootnoteReference"/>
          <w:rFonts w:cstheme="minorHAnsi"/>
          <w:lang w:val="fr-FR"/>
        </w:rPr>
        <w:footnoteReference w:id="9"/>
      </w:r>
      <w:r w:rsidRPr="0000074C">
        <w:rPr>
          <w:rFonts w:cstheme="minorHAnsi"/>
          <w:lang w:val="fr-FR"/>
        </w:rPr>
        <w:t xml:space="preserve">.  Il s'agit d'une étape importante vers la normalisation des paramètres des logements post-catastrophe financés par des dons humanitaires. </w:t>
      </w:r>
    </w:p>
    <w:p w14:paraId="6DCEB0D1" w14:textId="19D30225" w:rsidR="001177E3" w:rsidRPr="0000074C" w:rsidRDefault="001177E3" w:rsidP="001177E3">
      <w:pPr>
        <w:spacing w:afterLines="120" w:after="288" w:line="240" w:lineRule="auto"/>
        <w:jc w:val="both"/>
        <w:rPr>
          <w:rFonts w:cstheme="minorHAnsi"/>
          <w:lang w:val="fr-FR"/>
        </w:rPr>
      </w:pPr>
      <w:r w:rsidRPr="0000074C">
        <w:rPr>
          <w:rFonts w:cstheme="minorHAnsi"/>
          <w:lang w:val="fr-FR"/>
        </w:rPr>
        <w:t xml:space="preserve">Ces </w:t>
      </w:r>
      <w:r w:rsidR="00697CC2" w:rsidRPr="0000074C">
        <w:rPr>
          <w:rFonts w:cstheme="minorHAnsi"/>
          <w:lang w:val="fr-FR"/>
        </w:rPr>
        <w:t xml:space="preserve">présents </w:t>
      </w:r>
      <w:r w:rsidRPr="0000074C">
        <w:rPr>
          <w:rFonts w:cstheme="minorHAnsi"/>
          <w:lang w:val="fr-FR"/>
        </w:rPr>
        <w:t>termes de référence proposent d'aider le gouvernement haïtien à prendre une mesure supplémentaire pour établir des normes de résilience des logements en développant un cadre qui aligne les plans de projets individuels avec la politique stratégique de logement et les objectifs d'adaptation au climat tels que reflétés dans la PNLH</w:t>
      </w:r>
      <w:r w:rsidR="00C634D2" w:rsidRPr="0000074C">
        <w:rPr>
          <w:rStyle w:val="FootnoteReference"/>
          <w:rFonts w:cstheme="minorHAnsi"/>
          <w:lang w:val="fr-FR"/>
        </w:rPr>
        <w:footnoteReference w:id="10"/>
      </w:r>
      <w:r w:rsidRPr="0000074C">
        <w:rPr>
          <w:rFonts w:cstheme="minorHAnsi"/>
          <w:lang w:val="fr-FR"/>
        </w:rPr>
        <w:t>, la politique nationale de gestion des risques de catastrophes et d'adaptation au climat, et d'autres politiques nationales et directives opérationnelles.</w:t>
      </w:r>
    </w:p>
    <w:p w14:paraId="1CCAC5BA" w14:textId="00F06CEC" w:rsidR="00AF4DDF" w:rsidRPr="0000074C" w:rsidRDefault="00AF4DDF" w:rsidP="006852B3">
      <w:pPr>
        <w:spacing w:afterLines="120" w:after="288" w:line="240" w:lineRule="auto"/>
        <w:jc w:val="both"/>
        <w:rPr>
          <w:rFonts w:cstheme="minorHAnsi"/>
          <w:lang w:val="fr-FR"/>
        </w:rPr>
      </w:pPr>
      <w:r w:rsidRPr="0000074C">
        <w:rPr>
          <w:rFonts w:cstheme="minorHAnsi"/>
          <w:lang w:val="fr-FR"/>
        </w:rPr>
        <w:t>Le consultant proposera une série de recommandations pour préparer un cadre national de r</w:t>
      </w:r>
      <w:r w:rsidR="00690B2D" w:rsidRPr="0000074C">
        <w:rPr>
          <w:rFonts w:cstheme="minorHAnsi"/>
          <w:lang w:val="fr-FR"/>
        </w:rPr>
        <w:t>elance</w:t>
      </w:r>
      <w:r w:rsidRPr="0000074C">
        <w:rPr>
          <w:rFonts w:cstheme="minorHAnsi"/>
          <w:lang w:val="fr-FR"/>
        </w:rPr>
        <w:t xml:space="preserve"> et de résilience du logement afin d'offrir une vision de la manière dont les interventions humanitaires post-catastrophe et les propres interventions du gouvernement organisées au niveau national ou local peuvent soutenir la réalisation d'objectifs politiques plus vastes dans le secteur du logement au niveau national. L</w:t>
      </w:r>
      <w:r w:rsidR="00CD676C" w:rsidRPr="0000074C">
        <w:rPr>
          <w:rFonts w:cstheme="minorHAnsi"/>
          <w:lang w:val="fr-FR"/>
        </w:rPr>
        <w:t>a série de</w:t>
      </w:r>
      <w:r w:rsidRPr="0000074C">
        <w:rPr>
          <w:rFonts w:cstheme="minorHAnsi"/>
          <w:lang w:val="fr-FR"/>
        </w:rPr>
        <w:t xml:space="preserve"> recommandation</w:t>
      </w:r>
      <w:r w:rsidR="00CD676C" w:rsidRPr="0000074C">
        <w:rPr>
          <w:rFonts w:cstheme="minorHAnsi"/>
          <w:lang w:val="fr-FR"/>
        </w:rPr>
        <w:t>s</w:t>
      </w:r>
      <w:r w:rsidRPr="0000074C">
        <w:rPr>
          <w:rFonts w:cstheme="minorHAnsi"/>
          <w:lang w:val="fr-FR"/>
        </w:rPr>
        <w:t xml:space="preserve"> intégrera également des aspects visant à réduire la destruction des logements due à l'exposition aux risques environnementaux. L'objectif à long terme est de renforcer la résilience du parc de logements produits par des moyens formels et informels et d'utiliser les périodes de </w:t>
      </w:r>
      <w:r w:rsidR="00690B2D" w:rsidRPr="0000074C">
        <w:rPr>
          <w:rFonts w:cstheme="minorHAnsi"/>
          <w:lang w:val="fr-FR"/>
        </w:rPr>
        <w:t>relèvement</w:t>
      </w:r>
      <w:r w:rsidRPr="0000074C">
        <w:rPr>
          <w:rFonts w:cstheme="minorHAnsi"/>
          <w:lang w:val="fr-FR"/>
        </w:rPr>
        <w:t xml:space="preserve"> post-catastrophe dans le secteur du logement pour faire progresser les objectifs de résilience des logements.</w:t>
      </w:r>
    </w:p>
    <w:p w14:paraId="41E83029" w14:textId="77777777" w:rsidR="0064074B" w:rsidRPr="0000074C" w:rsidRDefault="00AF00BF" w:rsidP="0064074B">
      <w:pPr>
        <w:spacing w:afterLines="120" w:after="288" w:line="240" w:lineRule="auto"/>
        <w:jc w:val="both"/>
        <w:rPr>
          <w:rFonts w:cstheme="minorHAnsi"/>
          <w:lang w:val="fr-FR"/>
        </w:rPr>
      </w:pPr>
      <w:r w:rsidRPr="0000074C">
        <w:rPr>
          <w:rFonts w:cstheme="minorHAnsi"/>
          <w:lang w:val="fr-FR"/>
        </w:rPr>
        <w:t>Il convient de noter que la résilience des logements et des établissements dépend non seulement de la qualité de l'unité de logement elle-même, mais aussi des conditions qui existent sur le site du logement (drainage, stabilité du site, services) et dans les quartiers ou établissements environnants (routes d'accès, équipements publics, mesures d'atténuation des risques). C'est la raison pour laquelle l</w:t>
      </w:r>
      <w:r w:rsidR="00690B2D" w:rsidRPr="0000074C">
        <w:rPr>
          <w:rFonts w:cstheme="minorHAnsi"/>
          <w:lang w:val="fr-FR"/>
        </w:rPr>
        <w:t>a</w:t>
      </w:r>
      <w:r w:rsidRPr="0000074C">
        <w:rPr>
          <w:rFonts w:cstheme="minorHAnsi"/>
          <w:lang w:val="fr-FR"/>
        </w:rPr>
        <w:t xml:space="preserve"> "r</w:t>
      </w:r>
      <w:r w:rsidR="00690B2D" w:rsidRPr="0000074C">
        <w:rPr>
          <w:rFonts w:cstheme="minorHAnsi"/>
          <w:lang w:val="fr-FR"/>
        </w:rPr>
        <w:t>elance</w:t>
      </w:r>
      <w:r w:rsidRPr="0000074C">
        <w:rPr>
          <w:rFonts w:cstheme="minorHAnsi"/>
          <w:lang w:val="fr-FR"/>
        </w:rPr>
        <w:t xml:space="preserve"> et la résilience des logements", tels qu'ils sont mentionnés dans les présents termes de référence, doivent être compris comme intégrant des activités visant à améliorer la sécurité à la fois des unités de logement et des environs où ces unités sont situées. </w:t>
      </w:r>
    </w:p>
    <w:p w14:paraId="34799E9E" w14:textId="77777777" w:rsidR="003631F9" w:rsidRDefault="0064074B" w:rsidP="003631F9">
      <w:pPr>
        <w:spacing w:afterLines="120" w:after="288" w:line="240" w:lineRule="auto"/>
        <w:jc w:val="both"/>
        <w:rPr>
          <w:rFonts w:cstheme="minorHAnsi"/>
          <w:lang w:val="fr-FR"/>
        </w:rPr>
      </w:pPr>
      <w:r w:rsidRPr="003631F9">
        <w:rPr>
          <w:rFonts w:cstheme="minorHAnsi"/>
          <w:lang w:val="fr-FR"/>
        </w:rPr>
        <w:t>Ainsi, les stratégies et les améliorations devraient idéalement inclure trois types d'actifs : les unités de logement, les sites de logement et les améliorations de quartier.  Pour être pratiques, toutes les recommandations concernant le cadre d'amélioration des conditions sur les sites d'habitation et les améliorations de quartier devraient donner la priorité aux améliorations à petite échelle qui peuvent être planifiées et mises en œuvre au niveau local, telles que les gouttières, les petits travaux de drainage et de pavage, les latrines, etc.</w:t>
      </w:r>
    </w:p>
    <w:p w14:paraId="65B7052B" w14:textId="77777777" w:rsidR="00C16804" w:rsidRPr="003F70D1" w:rsidRDefault="00C16804" w:rsidP="00C16804">
      <w:pPr>
        <w:pStyle w:val="Heading1"/>
        <w:rPr>
          <w:rFonts w:asciiTheme="minorHAnsi" w:hAnsiTheme="minorHAnsi" w:cstheme="minorHAnsi"/>
        </w:rPr>
      </w:pPr>
      <w:r w:rsidRPr="003F70D1">
        <w:rPr>
          <w:rFonts w:asciiTheme="minorHAnsi" w:hAnsiTheme="minorHAnsi" w:cstheme="minorHAnsi"/>
        </w:rPr>
        <w:t>Objectifs de la Consultation</w:t>
      </w:r>
    </w:p>
    <w:p w14:paraId="4261DF4A" w14:textId="59BDE996" w:rsidR="00AF00BF" w:rsidRPr="003F70D1" w:rsidRDefault="00AF00BF" w:rsidP="002034CC">
      <w:pPr>
        <w:pStyle w:val="Heading1"/>
        <w:numPr>
          <w:ilvl w:val="0"/>
          <w:numId w:val="0"/>
        </w:numPr>
        <w:rPr>
          <w:rFonts w:asciiTheme="minorHAnsi" w:hAnsiTheme="minorHAnsi" w:cstheme="minorHAnsi"/>
        </w:rPr>
      </w:pPr>
      <w:r w:rsidRPr="003F70D1">
        <w:rPr>
          <w:rFonts w:asciiTheme="minorHAnsi" w:hAnsiTheme="minorHAnsi" w:cstheme="minorHAnsi"/>
        </w:rPr>
        <w:t>Objectif général</w:t>
      </w:r>
    </w:p>
    <w:p w14:paraId="2C9C7417" w14:textId="7813FD37" w:rsidR="00B01AE4" w:rsidRPr="0000074C" w:rsidRDefault="00B01AE4" w:rsidP="006852B3">
      <w:pPr>
        <w:spacing w:afterLines="120" w:after="288" w:line="240" w:lineRule="auto"/>
        <w:jc w:val="both"/>
        <w:rPr>
          <w:rFonts w:cstheme="minorHAnsi"/>
          <w:lang w:val="fr-FR"/>
        </w:rPr>
      </w:pPr>
      <w:r w:rsidRPr="0000074C">
        <w:rPr>
          <w:rFonts w:cstheme="minorHAnsi"/>
          <w:lang w:val="fr-FR"/>
        </w:rPr>
        <w:t>Formuler des recommandations en vue de l'élaboration d'un cadre destiné à guider les activités de reconstruction des logements et de renforcement de la résilience en Haïti, tant en période post-</w:t>
      </w:r>
      <w:r w:rsidRPr="0000074C">
        <w:rPr>
          <w:rFonts w:cstheme="minorHAnsi"/>
          <w:lang w:val="fr-FR"/>
        </w:rPr>
        <w:lastRenderedPageBreak/>
        <w:t>catastrophe qu'en temps normal, qui contribuera à une reconstruction équitable des logements et à une résilience accrue du parc de logements au fil du temps.</w:t>
      </w:r>
    </w:p>
    <w:p w14:paraId="5AC8923C" w14:textId="648B608F" w:rsidR="00B01AE4" w:rsidRPr="00002477" w:rsidRDefault="00B01AE4" w:rsidP="006852B3">
      <w:pPr>
        <w:spacing w:afterLines="120" w:after="288" w:line="240" w:lineRule="auto"/>
        <w:jc w:val="both"/>
        <w:rPr>
          <w:rFonts w:cstheme="minorHAnsi"/>
          <w:b/>
          <w:bCs/>
          <w:lang w:val="fr-FR"/>
        </w:rPr>
      </w:pPr>
      <w:r w:rsidRPr="00002477">
        <w:rPr>
          <w:rFonts w:cstheme="minorHAnsi"/>
          <w:b/>
          <w:bCs/>
          <w:lang w:val="fr-FR"/>
        </w:rPr>
        <w:t>Objectifs spécifiques</w:t>
      </w:r>
    </w:p>
    <w:p w14:paraId="54B0BDA6" w14:textId="76517DAA" w:rsidR="00D454A3" w:rsidRPr="0000074C" w:rsidRDefault="00D454A3" w:rsidP="006852B3">
      <w:pPr>
        <w:spacing w:afterLines="120" w:after="288" w:line="240" w:lineRule="auto"/>
        <w:jc w:val="both"/>
        <w:rPr>
          <w:rFonts w:cstheme="minorHAnsi"/>
          <w:lang w:val="fr-FR"/>
        </w:rPr>
      </w:pPr>
      <w:r w:rsidRPr="0000074C">
        <w:rPr>
          <w:rFonts w:cstheme="minorHAnsi"/>
          <w:lang w:val="fr-FR"/>
        </w:rPr>
        <w:t>La consulta</w:t>
      </w:r>
      <w:r w:rsidR="004B387E" w:rsidRPr="0000074C">
        <w:rPr>
          <w:rFonts w:cstheme="minorHAnsi"/>
          <w:lang w:val="fr-FR"/>
        </w:rPr>
        <w:t>tion</w:t>
      </w:r>
      <w:r w:rsidRPr="0000074C">
        <w:rPr>
          <w:rFonts w:cstheme="minorHAnsi"/>
          <w:lang w:val="fr-FR"/>
        </w:rPr>
        <w:t xml:space="preserve"> doit être menée de manière à produire les résultats suivants, en prenant pleinement en compte les efforts du gouvernement et des bailleurs de fonds pour renforcer le secteur du logement en Haïti et pour améliorer la résilience des logements, en considérant l'ensemble de la résilience des logements à la fois dans les milieux urbains et dans les milieux ruraux.</w:t>
      </w:r>
      <w:r w:rsidR="00FB02A7" w:rsidRPr="0000074C">
        <w:rPr>
          <w:rFonts w:cstheme="minorHAnsi"/>
          <w:lang w:val="fr-FR"/>
        </w:rPr>
        <w:t xml:space="preserve"> Il s’agit de :</w:t>
      </w:r>
    </w:p>
    <w:p w14:paraId="46311B73" w14:textId="0898FECD" w:rsidR="005E256B" w:rsidRPr="0000074C" w:rsidRDefault="005E256B" w:rsidP="005E256B">
      <w:pPr>
        <w:pStyle w:val="ListParagraph"/>
        <w:numPr>
          <w:ilvl w:val="0"/>
          <w:numId w:val="4"/>
        </w:numPr>
        <w:spacing w:afterLines="120" w:after="288" w:line="240" w:lineRule="auto"/>
        <w:jc w:val="both"/>
        <w:rPr>
          <w:rFonts w:cstheme="minorHAnsi"/>
          <w:lang w:val="fr-FR"/>
        </w:rPr>
      </w:pPr>
      <w:r w:rsidRPr="0000074C">
        <w:rPr>
          <w:rFonts w:cstheme="minorHAnsi"/>
          <w:lang w:val="fr-FR"/>
        </w:rPr>
        <w:t xml:space="preserve">Proposer un ensemble d'objectifs et d'indicateurs pour améliorer la résilience des logements en Haïti, en accord avec la politique nationale du logement. </w:t>
      </w:r>
    </w:p>
    <w:p w14:paraId="64F6D328" w14:textId="1406F9B5" w:rsidR="005E256B" w:rsidRPr="0000074C" w:rsidRDefault="005E256B" w:rsidP="005E256B">
      <w:pPr>
        <w:pStyle w:val="ListParagraph"/>
        <w:numPr>
          <w:ilvl w:val="0"/>
          <w:numId w:val="4"/>
        </w:numPr>
        <w:spacing w:afterLines="120" w:after="288" w:line="240" w:lineRule="auto"/>
        <w:jc w:val="both"/>
        <w:rPr>
          <w:rFonts w:cstheme="minorHAnsi"/>
          <w:lang w:val="fr-FR"/>
        </w:rPr>
      </w:pPr>
      <w:r w:rsidRPr="0000074C">
        <w:rPr>
          <w:rFonts w:cstheme="minorHAnsi"/>
          <w:lang w:val="fr-FR"/>
        </w:rPr>
        <w:t>Identifier les mécanismes institutionnels, de planification, financiers et opérationnels existants et les interventions qui peuvent contribuer au renforcement de la résilience dans le secteur du logement, ainsi que les mécanismes de soutien réalistes à envisager à l'avenir</w:t>
      </w:r>
      <w:r w:rsidR="00846174" w:rsidRPr="0000074C">
        <w:rPr>
          <w:rFonts w:cstheme="minorHAnsi"/>
          <w:lang w:val="fr-FR"/>
        </w:rPr>
        <w:t>, y</w:t>
      </w:r>
      <w:r w:rsidRPr="0000074C">
        <w:rPr>
          <w:rFonts w:cstheme="minorHAnsi"/>
          <w:lang w:val="fr-FR"/>
        </w:rPr>
        <w:t xml:space="preserve"> compris les activités financées par les donateurs. </w:t>
      </w:r>
    </w:p>
    <w:p w14:paraId="6C0F9133" w14:textId="30F4F8D0" w:rsidR="005E256B" w:rsidRPr="0000074C" w:rsidRDefault="005E256B" w:rsidP="005E256B">
      <w:pPr>
        <w:pStyle w:val="ListParagraph"/>
        <w:numPr>
          <w:ilvl w:val="0"/>
          <w:numId w:val="4"/>
        </w:numPr>
        <w:spacing w:afterLines="120" w:after="288" w:line="240" w:lineRule="auto"/>
        <w:jc w:val="both"/>
        <w:rPr>
          <w:rFonts w:cstheme="minorHAnsi"/>
          <w:lang w:val="fr-FR"/>
        </w:rPr>
      </w:pPr>
      <w:r w:rsidRPr="0000074C">
        <w:rPr>
          <w:rFonts w:cstheme="minorHAnsi"/>
          <w:lang w:val="fr-FR"/>
        </w:rPr>
        <w:t>Identifier les pratiques ayant des objectifs similaires dans d'autres pays, et fournir des exemples de bonnes pratiques applicables au contexte d'Haïti.</w:t>
      </w:r>
    </w:p>
    <w:p w14:paraId="3BF16008" w14:textId="75976715" w:rsidR="004B387E" w:rsidRPr="0000074C" w:rsidRDefault="005E256B" w:rsidP="009C009C">
      <w:pPr>
        <w:pStyle w:val="ListParagraph"/>
        <w:numPr>
          <w:ilvl w:val="0"/>
          <w:numId w:val="4"/>
        </w:numPr>
        <w:spacing w:afterLines="120" w:after="288" w:line="240" w:lineRule="auto"/>
        <w:jc w:val="both"/>
        <w:rPr>
          <w:rFonts w:cstheme="minorHAnsi"/>
          <w:lang w:val="fr-FR"/>
        </w:rPr>
      </w:pPr>
      <w:r w:rsidRPr="0000074C">
        <w:rPr>
          <w:rFonts w:cstheme="minorHAnsi"/>
          <w:lang w:val="fr-FR"/>
        </w:rPr>
        <w:t>Fournir un ensemble de recommandations exploitables pour développer un cadre de résilience et de reconstruction du logement ; cela comprend des recommandations pour guider la conception et la mise en œuvre des interventions de reconstruction du logement et d'autres recommandations pour renforcer la résilience du secteur du logement en Haïti.</w:t>
      </w:r>
    </w:p>
    <w:p w14:paraId="45D5F03C" w14:textId="3881458E" w:rsidR="005E256B" w:rsidRPr="00002477" w:rsidRDefault="005E256B" w:rsidP="005E256B">
      <w:pPr>
        <w:pStyle w:val="Heading1"/>
        <w:spacing w:afterLines="120" w:after="288" w:line="240" w:lineRule="auto"/>
        <w:jc w:val="both"/>
        <w:rPr>
          <w:rFonts w:asciiTheme="minorHAnsi" w:hAnsiTheme="minorHAnsi" w:cstheme="minorHAnsi"/>
        </w:rPr>
      </w:pPr>
      <w:r w:rsidRPr="00002477">
        <w:rPr>
          <w:rFonts w:asciiTheme="minorHAnsi" w:hAnsiTheme="minorHAnsi" w:cstheme="minorHAnsi"/>
        </w:rPr>
        <w:t>Activités de la consultation</w:t>
      </w:r>
    </w:p>
    <w:p w14:paraId="67EB4E65" w14:textId="3B143EF0" w:rsidR="00A54644" w:rsidRPr="0000074C" w:rsidRDefault="00A54644" w:rsidP="006852B3">
      <w:pPr>
        <w:spacing w:afterLines="120" w:after="288" w:line="240" w:lineRule="auto"/>
        <w:jc w:val="both"/>
        <w:rPr>
          <w:rFonts w:cstheme="minorHAnsi"/>
          <w:lang w:val="fr-FR"/>
        </w:rPr>
      </w:pPr>
      <w:r w:rsidRPr="0000074C">
        <w:rPr>
          <w:rFonts w:cstheme="minorHAnsi"/>
          <w:lang w:val="fr-FR"/>
        </w:rPr>
        <w:t>Les activités proposées pour atteindre les objectifs spécifiques énumérés ci-dessus sont les suivantes</w:t>
      </w:r>
      <w:r w:rsidR="00891BA8" w:rsidRPr="0000074C">
        <w:rPr>
          <w:rFonts w:cstheme="minorHAnsi"/>
          <w:lang w:val="fr-FR"/>
        </w:rPr>
        <w:t> :</w:t>
      </w:r>
    </w:p>
    <w:p w14:paraId="59C5E0DA" w14:textId="77777777" w:rsidR="00F36016" w:rsidRPr="0000074C" w:rsidRDefault="0008005E" w:rsidP="0008005E">
      <w:pPr>
        <w:pStyle w:val="ListParagraph"/>
        <w:jc w:val="both"/>
        <w:rPr>
          <w:rFonts w:cstheme="minorHAnsi"/>
          <w:lang w:val="fr-FR"/>
        </w:rPr>
      </w:pPr>
      <w:r w:rsidRPr="0000074C">
        <w:rPr>
          <w:rFonts w:cstheme="minorHAnsi"/>
          <w:b/>
          <w:bCs/>
          <w:lang w:val="fr-FR"/>
        </w:rPr>
        <w:t xml:space="preserve">Préparer une étude documentaire </w:t>
      </w:r>
      <w:r w:rsidRPr="0000074C">
        <w:rPr>
          <w:rFonts w:cstheme="minorHAnsi"/>
          <w:lang w:val="fr-FR"/>
        </w:rPr>
        <w:t>sur les rapports pertinents en matière de logement et extraire les recommandations proposées dans le passé qui sont applicables aujourd'hui. Cela devrait inclure un inventaire et une analyse des politiques de logement existantes et d'autres instruments et procédures institutionnels, financiers et de planification</w:t>
      </w:r>
      <w:r w:rsidR="00F239A0" w:rsidRPr="0000074C">
        <w:rPr>
          <w:rFonts w:cstheme="minorHAnsi"/>
          <w:lang w:val="fr-FR"/>
        </w:rPr>
        <w:t>,</w:t>
      </w:r>
      <w:r w:rsidR="006F3B30" w:rsidRPr="0000074C">
        <w:rPr>
          <w:rFonts w:cstheme="minorHAnsi"/>
          <w:lang w:val="fr-FR"/>
        </w:rPr>
        <w:t xml:space="preserve"> </w:t>
      </w:r>
      <w:r w:rsidRPr="0000074C">
        <w:rPr>
          <w:rFonts w:cstheme="minorHAnsi"/>
          <w:lang w:val="fr-FR"/>
        </w:rPr>
        <w:t xml:space="preserve">pertinents qui ont une certaine influence sur le secteur du logement, ainsi qu'une analyse de leur pertinence et de la mesure dans laquelle ces mécanismes prennent en compte la résilience du logement ou pourraient être orientés dans ce sens. L'étude documentaire comprendra une analyse des projets pertinents. </w:t>
      </w:r>
    </w:p>
    <w:p w14:paraId="2AD4BFE9" w14:textId="77777777" w:rsidR="00D31717" w:rsidRPr="0000074C" w:rsidRDefault="0008005E" w:rsidP="00F36016">
      <w:pPr>
        <w:pStyle w:val="ListParagraph"/>
        <w:numPr>
          <w:ilvl w:val="0"/>
          <w:numId w:val="0"/>
        </w:numPr>
        <w:ind w:left="720"/>
        <w:jc w:val="both"/>
        <w:rPr>
          <w:rFonts w:cstheme="minorHAnsi"/>
          <w:lang w:val="fr-FR"/>
        </w:rPr>
      </w:pPr>
      <w:r w:rsidRPr="0000074C">
        <w:rPr>
          <w:rFonts w:cstheme="minorHAnsi"/>
          <w:lang w:val="fr-FR"/>
        </w:rPr>
        <w:t>Pour ce faire, identifie</w:t>
      </w:r>
      <w:r w:rsidR="00F06C42" w:rsidRPr="0000074C">
        <w:rPr>
          <w:rFonts w:cstheme="minorHAnsi"/>
          <w:lang w:val="fr-FR"/>
        </w:rPr>
        <w:t>r</w:t>
      </w:r>
      <w:r w:rsidRPr="0000074C">
        <w:rPr>
          <w:rFonts w:cstheme="minorHAnsi"/>
          <w:lang w:val="fr-FR"/>
        </w:rPr>
        <w:t xml:space="preserve"> un échantillon de cinq projets d'intervention pertinents de la dernière décennie (réalisés par le gouvernement, les donateurs, les agences locales et les ménages ; liés au logement et/ou à l'habitat). </w:t>
      </w:r>
    </w:p>
    <w:p w14:paraId="45FA8D95" w14:textId="26674B81" w:rsidR="00D31717" w:rsidRPr="0000074C" w:rsidRDefault="0008005E" w:rsidP="00F36016">
      <w:pPr>
        <w:pStyle w:val="ListParagraph"/>
        <w:numPr>
          <w:ilvl w:val="0"/>
          <w:numId w:val="0"/>
        </w:numPr>
        <w:ind w:left="720"/>
        <w:jc w:val="both"/>
        <w:rPr>
          <w:rFonts w:cstheme="minorHAnsi"/>
          <w:lang w:val="fr-FR"/>
        </w:rPr>
      </w:pPr>
      <w:r w:rsidRPr="0000074C">
        <w:rPr>
          <w:rFonts w:cstheme="minorHAnsi"/>
          <w:lang w:val="fr-FR"/>
        </w:rPr>
        <w:t>Analy</w:t>
      </w:r>
      <w:r w:rsidR="00F06C42" w:rsidRPr="0000074C">
        <w:rPr>
          <w:rFonts w:cstheme="minorHAnsi"/>
          <w:lang w:val="fr-FR"/>
        </w:rPr>
        <w:t>ser</w:t>
      </w:r>
      <w:r w:rsidRPr="0000074C">
        <w:rPr>
          <w:rFonts w:cstheme="minorHAnsi"/>
          <w:lang w:val="fr-FR"/>
        </w:rPr>
        <w:t xml:space="preserve"> la manière dont les mécanismes institutionnels, financiers et de planification identifiés ont été mis en pratique au cours du processus de développement du logement, en soulignant en particulier les interventions qui ont été particulièrement efficaces ou inefficaces pour contribuer à la résilience du logement. </w:t>
      </w:r>
    </w:p>
    <w:p w14:paraId="43FF9B90" w14:textId="0EDBACB8" w:rsidR="0008005E" w:rsidRPr="0000074C" w:rsidRDefault="0008005E" w:rsidP="006447AC">
      <w:pPr>
        <w:pStyle w:val="ListParagraph"/>
        <w:numPr>
          <w:ilvl w:val="0"/>
          <w:numId w:val="0"/>
        </w:numPr>
        <w:ind w:left="720"/>
        <w:jc w:val="both"/>
        <w:rPr>
          <w:rFonts w:cstheme="minorHAnsi"/>
          <w:lang w:val="fr-FR"/>
        </w:rPr>
      </w:pPr>
      <w:r w:rsidRPr="0000074C">
        <w:rPr>
          <w:rFonts w:cstheme="minorHAnsi"/>
          <w:lang w:val="fr-FR"/>
        </w:rPr>
        <w:lastRenderedPageBreak/>
        <w:t>Utiliser cet échantillon pour identifier les mécanismes opérationnels et les procédures les plus courants pour le développement du logement (inclure une gamme d'interventions allant de l'auto-construction informelle au développement commercial formel et autorisé).</w:t>
      </w:r>
    </w:p>
    <w:p w14:paraId="671DC4E1" w14:textId="77C67B51" w:rsidR="00E6302D" w:rsidRPr="0000074C" w:rsidRDefault="00E6302D" w:rsidP="007C3AE6">
      <w:pPr>
        <w:pStyle w:val="ListParagraph"/>
        <w:jc w:val="both"/>
        <w:rPr>
          <w:rFonts w:cstheme="minorHAnsi"/>
          <w:lang w:val="fr-FR"/>
        </w:rPr>
      </w:pPr>
      <w:r w:rsidRPr="0000074C">
        <w:rPr>
          <w:rFonts w:cstheme="minorHAnsi"/>
          <w:b/>
          <w:bCs/>
          <w:lang w:val="fr-FR"/>
        </w:rPr>
        <w:t>Identification des parties prenantes</w:t>
      </w:r>
      <w:r w:rsidRPr="0000074C">
        <w:rPr>
          <w:rFonts w:cstheme="minorHAnsi"/>
          <w:lang w:val="fr-FR"/>
        </w:rPr>
        <w:t xml:space="preserve">. </w:t>
      </w:r>
      <w:r w:rsidR="007C3AE6" w:rsidRPr="0000074C">
        <w:rPr>
          <w:rFonts w:cstheme="minorHAnsi"/>
          <w:lang w:val="fr-FR"/>
        </w:rPr>
        <w:t xml:space="preserve">Identifier les principales parties prenantes du programme de résilience des logements au sein du gouvernement, du secteur non gouvernemental, y compris la société civile, et du secteur privé, dans les zones urbaines et rurales. Il peut s'agir d'agences directement impliquées dans le logement ou d'acteurs situés à la périphérie du secteur du logement, tels que les vendeurs de matériaux de construction et les responsables locaux impliqués dans les activités de gestion des risques de catastrophe (GRC). Analyser quels sont les acteurs les plus importants pour la mise en œuvre du Cadre pour la </w:t>
      </w:r>
      <w:r w:rsidR="002D4596" w:rsidRPr="0000074C">
        <w:rPr>
          <w:rFonts w:cstheme="minorHAnsi"/>
          <w:lang w:val="fr-FR"/>
        </w:rPr>
        <w:t>R</w:t>
      </w:r>
      <w:r w:rsidR="007C3AE6" w:rsidRPr="0000074C">
        <w:rPr>
          <w:rFonts w:cstheme="minorHAnsi"/>
          <w:lang w:val="fr-FR"/>
        </w:rPr>
        <w:t xml:space="preserve">ésilience et la </w:t>
      </w:r>
      <w:r w:rsidR="002D4596" w:rsidRPr="0000074C">
        <w:rPr>
          <w:rFonts w:cstheme="minorHAnsi"/>
          <w:lang w:val="fr-FR"/>
        </w:rPr>
        <w:t>R</w:t>
      </w:r>
      <w:r w:rsidR="007C3AE6" w:rsidRPr="0000074C">
        <w:rPr>
          <w:rFonts w:cstheme="minorHAnsi"/>
          <w:lang w:val="fr-FR"/>
        </w:rPr>
        <w:t xml:space="preserve">éhabilitation des </w:t>
      </w:r>
      <w:r w:rsidR="00E51277" w:rsidRPr="0000074C">
        <w:rPr>
          <w:rFonts w:cstheme="minorHAnsi"/>
          <w:lang w:val="fr-FR"/>
        </w:rPr>
        <w:t>L</w:t>
      </w:r>
      <w:r w:rsidR="007C3AE6" w:rsidRPr="0000074C">
        <w:rPr>
          <w:rFonts w:cstheme="minorHAnsi"/>
          <w:lang w:val="fr-FR"/>
        </w:rPr>
        <w:t>ogements.</w:t>
      </w:r>
    </w:p>
    <w:p w14:paraId="6F0CE439" w14:textId="5C9C45F5" w:rsidR="004C2167" w:rsidRPr="0000074C" w:rsidRDefault="00E6302D" w:rsidP="0042646D">
      <w:pPr>
        <w:pStyle w:val="ListParagraph"/>
        <w:jc w:val="both"/>
        <w:rPr>
          <w:rFonts w:cstheme="minorHAnsi"/>
          <w:lang w:val="fr-FR"/>
        </w:rPr>
      </w:pPr>
      <w:r w:rsidRPr="0000074C">
        <w:rPr>
          <w:rFonts w:cstheme="minorHAnsi"/>
          <w:b/>
          <w:bCs/>
          <w:lang w:val="fr-FR"/>
        </w:rPr>
        <w:t>Identifier les bonnes pratiques</w:t>
      </w:r>
      <w:r w:rsidR="004C2167" w:rsidRPr="0000074C">
        <w:rPr>
          <w:rFonts w:cstheme="minorHAnsi"/>
          <w:b/>
          <w:bCs/>
          <w:lang w:val="fr-FR"/>
        </w:rPr>
        <w:t>.</w:t>
      </w:r>
      <w:r w:rsidR="004C2167" w:rsidRPr="0000074C">
        <w:rPr>
          <w:lang w:val="fr-FR"/>
        </w:rPr>
        <w:t xml:space="preserve"> </w:t>
      </w:r>
      <w:r w:rsidR="004C2167" w:rsidRPr="0000074C">
        <w:rPr>
          <w:rFonts w:cstheme="minorHAnsi"/>
          <w:lang w:val="fr-FR"/>
        </w:rPr>
        <w:t>Identifier les bonnes pratiques en Haïti ou à l'étranger qui soutiennent le développement du logement en Haïti. Les bonnes pratiques doivent être adaptées au contexte haïtien.</w:t>
      </w:r>
    </w:p>
    <w:p w14:paraId="11C344AC" w14:textId="18AF35B2" w:rsidR="0044256B" w:rsidRPr="0000074C" w:rsidRDefault="0044256B" w:rsidP="0044256B">
      <w:pPr>
        <w:pStyle w:val="ListParagraph"/>
        <w:jc w:val="both"/>
        <w:rPr>
          <w:rFonts w:cstheme="minorHAnsi"/>
          <w:lang w:val="fr-FR"/>
        </w:rPr>
      </w:pPr>
      <w:r w:rsidRPr="0000074C">
        <w:rPr>
          <w:rFonts w:cstheme="minorHAnsi"/>
          <w:b/>
          <w:bCs/>
          <w:lang w:val="fr-FR"/>
        </w:rPr>
        <w:t>Mener une analyse des contraintes</w:t>
      </w:r>
      <w:r w:rsidRPr="0000074C">
        <w:rPr>
          <w:rFonts w:cstheme="minorHAnsi"/>
          <w:lang w:val="fr-FR"/>
        </w:rPr>
        <w:t xml:space="preserve">. Identifier les principales contraintes qui augmentent les risques et réduisent la résilience du parc de logements en Haïti (considérer les contraintes liées aux ressources financières, aux ressources techniques, à l'information, à la formation, aux institutions et à la gouvernance, et à l'implication du secteur privé, entre autres).  </w:t>
      </w:r>
    </w:p>
    <w:p w14:paraId="0D52DA63" w14:textId="625196A3" w:rsidR="00AF4907" w:rsidRPr="0000074C" w:rsidRDefault="00AF4907" w:rsidP="0042646D">
      <w:pPr>
        <w:pStyle w:val="ListParagraph"/>
        <w:jc w:val="both"/>
        <w:rPr>
          <w:rFonts w:cstheme="minorHAnsi"/>
          <w:lang w:val="fr-FR"/>
        </w:rPr>
      </w:pPr>
      <w:r w:rsidRPr="0000074C">
        <w:rPr>
          <w:rFonts w:cstheme="minorHAnsi"/>
          <w:b/>
          <w:bCs/>
          <w:lang w:val="fr-FR"/>
        </w:rPr>
        <w:t>Préparer des recommandations</w:t>
      </w:r>
      <w:r w:rsidRPr="0000074C">
        <w:rPr>
          <w:rFonts w:cstheme="minorHAnsi"/>
          <w:lang w:val="fr-FR"/>
        </w:rPr>
        <w:t xml:space="preserve"> </w:t>
      </w:r>
      <w:r w:rsidRPr="0000074C">
        <w:rPr>
          <w:rFonts w:cstheme="minorHAnsi"/>
          <w:b/>
          <w:bCs/>
          <w:lang w:val="fr-FR"/>
        </w:rPr>
        <w:t>pour concevoir un cadre pour la résilience et l</w:t>
      </w:r>
      <w:r w:rsidR="00B31EF5" w:rsidRPr="0000074C">
        <w:rPr>
          <w:rFonts w:cstheme="minorHAnsi"/>
          <w:b/>
          <w:bCs/>
          <w:lang w:val="fr-FR"/>
        </w:rPr>
        <w:t>a</w:t>
      </w:r>
      <w:r w:rsidRPr="0000074C">
        <w:rPr>
          <w:rFonts w:cstheme="minorHAnsi"/>
          <w:b/>
          <w:bCs/>
          <w:lang w:val="fr-FR"/>
        </w:rPr>
        <w:t xml:space="preserve"> </w:t>
      </w:r>
      <w:r w:rsidR="00B31EF5" w:rsidRPr="0000074C">
        <w:rPr>
          <w:rFonts w:cstheme="minorHAnsi"/>
          <w:b/>
          <w:bCs/>
          <w:lang w:val="fr-FR"/>
        </w:rPr>
        <w:t>relance</w:t>
      </w:r>
      <w:r w:rsidRPr="0000074C">
        <w:rPr>
          <w:rFonts w:cstheme="minorHAnsi"/>
          <w:b/>
          <w:bCs/>
          <w:lang w:val="fr-FR"/>
        </w:rPr>
        <w:t xml:space="preserve"> du logement.</w:t>
      </w:r>
      <w:r w:rsidRPr="0000074C">
        <w:rPr>
          <w:rFonts w:cstheme="minorHAnsi"/>
          <w:lang w:val="fr-FR"/>
        </w:rPr>
        <w:t xml:space="preserve"> Sur la base de l'étude documentaire, des meilleures pratiques et en consultation avec quelques parties prenantes clés, proposer des recommandations pour développer un cadre pratique qui pourrait inclure des objectifs et des indicateurs principaux pour orienter les activités de </w:t>
      </w:r>
      <w:r w:rsidR="00B31EF5" w:rsidRPr="0000074C">
        <w:rPr>
          <w:rFonts w:cstheme="minorHAnsi"/>
          <w:lang w:val="fr-FR"/>
        </w:rPr>
        <w:t>relance</w:t>
      </w:r>
      <w:r w:rsidRPr="0000074C">
        <w:rPr>
          <w:rFonts w:cstheme="minorHAnsi"/>
          <w:lang w:val="fr-FR"/>
        </w:rPr>
        <w:t xml:space="preserve"> du logement et la résilience à long terme du secteur du logement. </w:t>
      </w:r>
    </w:p>
    <w:p w14:paraId="266D05A7" w14:textId="551500C5" w:rsidR="00082D55" w:rsidRPr="0000074C" w:rsidRDefault="00082D55" w:rsidP="0042646D">
      <w:pPr>
        <w:pStyle w:val="ListParagraph"/>
        <w:jc w:val="both"/>
        <w:rPr>
          <w:rFonts w:cstheme="minorHAnsi"/>
          <w:lang w:val="fr-FR"/>
        </w:rPr>
      </w:pPr>
      <w:r w:rsidRPr="0000074C">
        <w:rPr>
          <w:rFonts w:cstheme="minorHAnsi"/>
          <w:b/>
          <w:bCs/>
          <w:lang w:val="fr-FR"/>
        </w:rPr>
        <w:t xml:space="preserve">Identification des besoins. </w:t>
      </w:r>
      <w:r w:rsidRPr="0000074C">
        <w:rPr>
          <w:rFonts w:cstheme="minorHAnsi"/>
          <w:lang w:val="fr-FR"/>
        </w:rPr>
        <w:t>Identifier les ressources et les conditions favorables nécessaires à la poursuite du développement et de la mise en œuvre du cadre, ainsi que toute recommandation supplémentaire nécessaire.</w:t>
      </w:r>
    </w:p>
    <w:p w14:paraId="50E400DB" w14:textId="52922392" w:rsidR="000E48A7" w:rsidRPr="00002477" w:rsidRDefault="00AF4907" w:rsidP="000C6B44">
      <w:pPr>
        <w:pStyle w:val="Heading1"/>
        <w:spacing w:afterLines="120" w:after="288" w:line="240" w:lineRule="auto"/>
        <w:jc w:val="both"/>
        <w:rPr>
          <w:rFonts w:asciiTheme="minorHAnsi" w:hAnsiTheme="minorHAnsi" w:cstheme="minorHAnsi"/>
        </w:rPr>
      </w:pPr>
      <w:r w:rsidRPr="00002477">
        <w:rPr>
          <w:rFonts w:asciiTheme="minorHAnsi" w:hAnsiTheme="minorHAnsi" w:cstheme="minorHAnsi"/>
        </w:rPr>
        <w:t>Livrables</w:t>
      </w:r>
      <w:r w:rsidR="00BC0C1C" w:rsidRPr="00002477">
        <w:rPr>
          <w:rFonts w:asciiTheme="minorHAnsi" w:hAnsiTheme="minorHAnsi" w:cstheme="minorHAnsi"/>
        </w:rPr>
        <w:t xml:space="preserve"> </w:t>
      </w:r>
      <w:r w:rsidR="00CC7306">
        <w:rPr>
          <w:rFonts w:asciiTheme="minorHAnsi" w:hAnsiTheme="minorHAnsi" w:cstheme="minorHAnsi"/>
        </w:rPr>
        <w:t>et calendrier</w:t>
      </w:r>
    </w:p>
    <w:p w14:paraId="49F45C2F" w14:textId="77777777" w:rsidR="00A04E8D" w:rsidRPr="00A04E8D" w:rsidRDefault="00A04E8D" w:rsidP="00A04E8D">
      <w:pPr>
        <w:pStyle w:val="ListParagraph"/>
        <w:numPr>
          <w:ilvl w:val="0"/>
          <w:numId w:val="0"/>
        </w:numPr>
        <w:spacing w:afterLines="120" w:after="288" w:line="240" w:lineRule="auto"/>
        <w:ind w:left="1080"/>
        <w:jc w:val="both"/>
        <w:rPr>
          <w:rFonts w:cstheme="minorHAnsi"/>
          <w:lang w:val="fr-FR"/>
        </w:rPr>
      </w:pPr>
    </w:p>
    <w:tbl>
      <w:tblPr>
        <w:tblStyle w:val="TableGrid"/>
        <w:tblW w:w="0" w:type="auto"/>
        <w:tblLook w:val="04A0" w:firstRow="1" w:lastRow="0" w:firstColumn="1" w:lastColumn="0" w:noHBand="0" w:noVBand="1"/>
      </w:tblPr>
      <w:tblGrid>
        <w:gridCol w:w="7285"/>
        <w:gridCol w:w="2065"/>
      </w:tblGrid>
      <w:tr w:rsidR="00A04E8D" w:rsidRPr="001D6705" w14:paraId="23218074" w14:textId="77777777" w:rsidTr="00265772">
        <w:tc>
          <w:tcPr>
            <w:tcW w:w="7285" w:type="dxa"/>
          </w:tcPr>
          <w:p w14:paraId="024709D9" w14:textId="75E286B0" w:rsidR="00A04E8D" w:rsidRPr="001D6705" w:rsidRDefault="00A04E8D" w:rsidP="00265772">
            <w:pPr>
              <w:rPr>
                <w:rFonts w:cstheme="minorHAnsi"/>
                <w:lang w:val="en-US"/>
              </w:rPr>
            </w:pPr>
            <w:r>
              <w:rPr>
                <w:rFonts w:cstheme="minorHAnsi"/>
                <w:lang w:val="en-US"/>
              </w:rPr>
              <w:t>Livrables</w:t>
            </w:r>
          </w:p>
        </w:tc>
        <w:tc>
          <w:tcPr>
            <w:tcW w:w="2065" w:type="dxa"/>
          </w:tcPr>
          <w:p w14:paraId="7A517C7B" w14:textId="766726ED" w:rsidR="00A04E8D" w:rsidRPr="001D6705" w:rsidRDefault="00A04E8D" w:rsidP="00265772">
            <w:pPr>
              <w:rPr>
                <w:rFonts w:cstheme="minorHAnsi"/>
                <w:lang w:val="en-US"/>
              </w:rPr>
            </w:pPr>
            <w:r>
              <w:rPr>
                <w:rFonts w:cstheme="minorHAnsi"/>
                <w:lang w:val="en-US"/>
              </w:rPr>
              <w:t>Date</w:t>
            </w:r>
          </w:p>
        </w:tc>
      </w:tr>
      <w:tr w:rsidR="00A04E8D" w:rsidRPr="005C3D41" w14:paraId="70CC7665" w14:textId="77777777" w:rsidTr="00265772">
        <w:tc>
          <w:tcPr>
            <w:tcW w:w="7285" w:type="dxa"/>
          </w:tcPr>
          <w:p w14:paraId="574996AA" w14:textId="1C08792A" w:rsidR="00A04E8D" w:rsidRPr="00A04E8D" w:rsidRDefault="00A04E8D" w:rsidP="0047482A">
            <w:pPr>
              <w:spacing w:afterLines="120" w:after="288"/>
              <w:jc w:val="both"/>
              <w:rPr>
                <w:rFonts w:cstheme="minorHAnsi"/>
                <w:lang w:val="fr-FR"/>
              </w:rPr>
            </w:pPr>
            <w:r w:rsidRPr="00A04E8D">
              <w:rPr>
                <w:rFonts w:cstheme="minorHAnsi"/>
                <w:b/>
                <w:bCs/>
                <w:lang w:val="fr-FR"/>
              </w:rPr>
              <w:t>Rapport initial</w:t>
            </w:r>
            <w:r w:rsidRPr="00A04E8D">
              <w:rPr>
                <w:rFonts w:cstheme="minorHAnsi"/>
                <w:lang w:val="fr-FR"/>
              </w:rPr>
              <w:t xml:space="preserve"> : y compris l'identification des principales parties prenantes et les objectifs et indicateurs de résultats proposés pour guider la préparation d'un cadre de résilience et de redressement des logements. Le rapport initial comprendra une proposition annotée de table des matières pour le rapport final. </w:t>
            </w:r>
          </w:p>
        </w:tc>
        <w:tc>
          <w:tcPr>
            <w:tcW w:w="2065" w:type="dxa"/>
          </w:tcPr>
          <w:p w14:paraId="3D25DE43" w14:textId="4F4F3EA6" w:rsidR="00A04E8D" w:rsidRPr="00A04E8D" w:rsidRDefault="00A04E8D" w:rsidP="00265772">
            <w:pPr>
              <w:rPr>
                <w:rFonts w:cstheme="minorHAnsi"/>
                <w:lang w:val="fr-FR"/>
              </w:rPr>
            </w:pPr>
            <w:r w:rsidRPr="00A04E8D">
              <w:rPr>
                <w:rFonts w:cstheme="minorHAnsi"/>
                <w:lang w:val="fr-FR"/>
              </w:rPr>
              <w:t>15 jours après signature du c</w:t>
            </w:r>
            <w:r>
              <w:rPr>
                <w:rFonts w:cstheme="minorHAnsi"/>
                <w:lang w:val="fr-FR"/>
              </w:rPr>
              <w:t>ontrat</w:t>
            </w:r>
          </w:p>
        </w:tc>
      </w:tr>
      <w:tr w:rsidR="00A04E8D" w:rsidRPr="005C3D41" w14:paraId="7B5CE8C8" w14:textId="77777777" w:rsidTr="00265772">
        <w:tc>
          <w:tcPr>
            <w:tcW w:w="7285" w:type="dxa"/>
          </w:tcPr>
          <w:p w14:paraId="6EE6FA86" w14:textId="7CE34BD1" w:rsidR="00A04E8D" w:rsidRPr="00A15F5C" w:rsidRDefault="00A15F5C" w:rsidP="00A15F5C">
            <w:pPr>
              <w:spacing w:afterLines="120" w:after="288"/>
              <w:jc w:val="both"/>
              <w:rPr>
                <w:rFonts w:cstheme="minorHAnsi"/>
                <w:lang w:val="fr-FR"/>
              </w:rPr>
            </w:pPr>
            <w:r w:rsidRPr="00A15F5C">
              <w:rPr>
                <w:rFonts w:cstheme="minorHAnsi"/>
                <w:b/>
                <w:bCs/>
                <w:lang w:val="fr-FR"/>
              </w:rPr>
              <w:t>Projet de rapport 1</w:t>
            </w:r>
            <w:r w:rsidRPr="00A15F5C">
              <w:rPr>
                <w:rFonts w:cstheme="minorHAnsi"/>
                <w:lang w:val="fr-FR"/>
              </w:rPr>
              <w:t xml:space="preserve"> : couvrant l'évaluation des parties prenantes, les principales conclusions de l'étude documentaire, l'analyse du cadre juridique et l'analyse des bonnes pratiques en Haïti et à l'étranger. </w:t>
            </w:r>
          </w:p>
        </w:tc>
        <w:tc>
          <w:tcPr>
            <w:tcW w:w="2065" w:type="dxa"/>
          </w:tcPr>
          <w:p w14:paraId="2E25CE02" w14:textId="79142E97" w:rsidR="00A04E8D" w:rsidRPr="00A15F5C" w:rsidRDefault="00A04E8D" w:rsidP="00265772">
            <w:pPr>
              <w:rPr>
                <w:rFonts w:cstheme="minorHAnsi"/>
                <w:lang w:val="fr-FR"/>
              </w:rPr>
            </w:pPr>
            <w:r w:rsidRPr="00A15F5C">
              <w:rPr>
                <w:rFonts w:cstheme="minorHAnsi"/>
                <w:lang w:val="fr-FR"/>
              </w:rPr>
              <w:t xml:space="preserve">4 </w:t>
            </w:r>
            <w:r w:rsidR="00A15F5C">
              <w:rPr>
                <w:rFonts w:cstheme="minorHAnsi"/>
                <w:lang w:val="fr-FR"/>
              </w:rPr>
              <w:t>mois</w:t>
            </w:r>
            <w:r w:rsidR="00A15F5C" w:rsidRPr="00A04E8D">
              <w:rPr>
                <w:rFonts w:cstheme="minorHAnsi"/>
                <w:lang w:val="fr-FR"/>
              </w:rPr>
              <w:t xml:space="preserve"> après signature du c</w:t>
            </w:r>
            <w:r w:rsidR="00A15F5C">
              <w:rPr>
                <w:rFonts w:cstheme="minorHAnsi"/>
                <w:lang w:val="fr-FR"/>
              </w:rPr>
              <w:t>ontrat</w:t>
            </w:r>
          </w:p>
        </w:tc>
      </w:tr>
      <w:tr w:rsidR="00A04E8D" w:rsidRPr="005C3D41" w14:paraId="75257CA4" w14:textId="77777777" w:rsidTr="00265772">
        <w:tc>
          <w:tcPr>
            <w:tcW w:w="7285" w:type="dxa"/>
          </w:tcPr>
          <w:p w14:paraId="365B3A7E" w14:textId="3FA79658" w:rsidR="00A04E8D" w:rsidRPr="00BF51B7" w:rsidRDefault="00BF51B7" w:rsidP="00BF51B7">
            <w:pPr>
              <w:jc w:val="both"/>
              <w:rPr>
                <w:rFonts w:cstheme="minorHAnsi"/>
                <w:lang w:val="fr-FR"/>
              </w:rPr>
            </w:pPr>
            <w:r w:rsidRPr="00BF51B7">
              <w:rPr>
                <w:rFonts w:cstheme="minorHAnsi"/>
                <w:b/>
                <w:lang w:val="fr-FR"/>
              </w:rPr>
              <w:t xml:space="preserve">Projet de rapport </w:t>
            </w:r>
            <w:r>
              <w:rPr>
                <w:rFonts w:cstheme="minorHAnsi"/>
                <w:b/>
                <w:lang w:val="fr-FR"/>
              </w:rPr>
              <w:t xml:space="preserve">2, </w:t>
            </w:r>
            <w:r w:rsidRPr="00BF51B7">
              <w:rPr>
                <w:rFonts w:cstheme="minorHAnsi"/>
                <w:bCs/>
                <w:lang w:val="fr-FR"/>
              </w:rPr>
              <w:t xml:space="preserve">sur les recommandations relatives au cadre de résilience </w:t>
            </w:r>
            <w:r w:rsidRPr="00BF51B7">
              <w:rPr>
                <w:rFonts w:cstheme="minorHAnsi"/>
                <w:bCs/>
                <w:lang w:val="fr-FR"/>
              </w:rPr>
              <w:lastRenderedPageBreak/>
              <w:t>et de redressement des logements. Ce rapport comprendra les éléments suivants</w:t>
            </w:r>
            <w:r>
              <w:rPr>
                <w:rFonts w:cstheme="minorHAnsi"/>
                <w:bCs/>
                <w:lang w:val="fr-FR"/>
              </w:rPr>
              <w:t> :</w:t>
            </w:r>
            <w:r w:rsidRPr="00BF51B7">
              <w:rPr>
                <w:rFonts w:cstheme="minorHAnsi"/>
                <w:bCs/>
                <w:lang w:val="fr-FR"/>
              </w:rPr>
              <w:t xml:space="preserve"> Une analyse complète et des recommandations pour guider le développement d'un cadre de résilience et de redressement du logement. Le rapport comprendra les principaux résultats de l'étude documentaire, les conclusions de l'analyse des politiques de logement existantes et les améliorations à apporter au cadre juridique, ainsi que des recommandations pour l'élaboration d'un cadre de résilience et de relance en matière de logement. Les recommandations pour développer le cadre incluront des objectifs à atteindre, des recommandations réalisables sur la manière d'atteindre les objectifs, des indicateurs potentiels pour suivre les progrès, et l'identification des besoins en termes de ressources et d'environnement favorable pour développer et mettre en œuvre le cadre, ainsi que des recommandations supplémentaires si nécessaire.</w:t>
            </w:r>
          </w:p>
        </w:tc>
        <w:tc>
          <w:tcPr>
            <w:tcW w:w="2065" w:type="dxa"/>
          </w:tcPr>
          <w:p w14:paraId="64DFB4BC" w14:textId="42B89AD7" w:rsidR="00A04E8D" w:rsidRPr="00BF51B7" w:rsidRDefault="00A04E8D" w:rsidP="00265772">
            <w:pPr>
              <w:rPr>
                <w:rFonts w:cstheme="minorHAnsi"/>
                <w:lang w:val="fr-FR"/>
              </w:rPr>
            </w:pPr>
            <w:r w:rsidRPr="00BF51B7">
              <w:rPr>
                <w:rFonts w:cstheme="minorHAnsi"/>
                <w:lang w:val="fr-FR"/>
              </w:rPr>
              <w:lastRenderedPageBreak/>
              <w:t xml:space="preserve">8 </w:t>
            </w:r>
            <w:r w:rsidR="00BF51B7">
              <w:rPr>
                <w:rFonts w:cstheme="minorHAnsi"/>
                <w:lang w:val="fr-FR"/>
              </w:rPr>
              <w:t>mois</w:t>
            </w:r>
            <w:r w:rsidR="00BF51B7" w:rsidRPr="00A04E8D">
              <w:rPr>
                <w:rFonts w:cstheme="minorHAnsi"/>
                <w:lang w:val="fr-FR"/>
              </w:rPr>
              <w:t xml:space="preserve"> après </w:t>
            </w:r>
            <w:r w:rsidR="00BF51B7" w:rsidRPr="00A04E8D">
              <w:rPr>
                <w:rFonts w:cstheme="minorHAnsi"/>
                <w:lang w:val="fr-FR"/>
              </w:rPr>
              <w:lastRenderedPageBreak/>
              <w:t>signature du c</w:t>
            </w:r>
            <w:r w:rsidR="00BF51B7">
              <w:rPr>
                <w:rFonts w:cstheme="minorHAnsi"/>
                <w:lang w:val="fr-FR"/>
              </w:rPr>
              <w:t>ontrat</w:t>
            </w:r>
          </w:p>
        </w:tc>
      </w:tr>
      <w:tr w:rsidR="00A04E8D" w:rsidRPr="005C3D41" w14:paraId="2850E83D" w14:textId="77777777" w:rsidTr="00265772">
        <w:tc>
          <w:tcPr>
            <w:tcW w:w="7285" w:type="dxa"/>
          </w:tcPr>
          <w:p w14:paraId="3A2B9272" w14:textId="1840E296" w:rsidR="00A04E8D" w:rsidRPr="002665D0" w:rsidRDefault="002665D0" w:rsidP="00265772">
            <w:pPr>
              <w:spacing w:after="120"/>
              <w:jc w:val="both"/>
              <w:rPr>
                <w:rFonts w:cstheme="minorHAnsi"/>
                <w:lang w:val="fr-FR"/>
              </w:rPr>
            </w:pPr>
            <w:r w:rsidRPr="002665D0">
              <w:rPr>
                <w:rFonts w:cstheme="minorHAnsi"/>
                <w:b/>
                <w:bCs/>
                <w:lang w:val="fr-FR"/>
              </w:rPr>
              <w:lastRenderedPageBreak/>
              <w:t xml:space="preserve">Rapport final sur l'analyse documentaire : </w:t>
            </w:r>
            <w:r w:rsidRPr="002665D0">
              <w:rPr>
                <w:rFonts w:cstheme="minorHAnsi"/>
                <w:lang w:val="fr-FR"/>
              </w:rPr>
              <w:t>Ce rapport comprendra les commentaires et les recommandations de l'UCP.</w:t>
            </w:r>
          </w:p>
        </w:tc>
        <w:tc>
          <w:tcPr>
            <w:tcW w:w="2065" w:type="dxa"/>
          </w:tcPr>
          <w:p w14:paraId="349DE46D" w14:textId="1DE103ED" w:rsidR="00A04E8D" w:rsidRPr="002665D0" w:rsidRDefault="00A04E8D" w:rsidP="00265772">
            <w:pPr>
              <w:rPr>
                <w:rFonts w:cstheme="minorHAnsi"/>
                <w:lang w:val="fr-FR"/>
              </w:rPr>
            </w:pPr>
            <w:r w:rsidRPr="002665D0">
              <w:rPr>
                <w:rFonts w:cstheme="minorHAnsi"/>
                <w:lang w:val="fr-FR"/>
              </w:rPr>
              <w:t xml:space="preserve">10 </w:t>
            </w:r>
            <w:r w:rsidR="002665D0">
              <w:rPr>
                <w:rFonts w:cstheme="minorHAnsi"/>
                <w:lang w:val="fr-FR"/>
              </w:rPr>
              <w:t>mois</w:t>
            </w:r>
            <w:r w:rsidR="002665D0" w:rsidRPr="00A04E8D">
              <w:rPr>
                <w:rFonts w:cstheme="minorHAnsi"/>
                <w:lang w:val="fr-FR"/>
              </w:rPr>
              <w:t xml:space="preserve"> après signature du c</w:t>
            </w:r>
            <w:r w:rsidR="002665D0">
              <w:rPr>
                <w:rFonts w:cstheme="minorHAnsi"/>
                <w:lang w:val="fr-FR"/>
              </w:rPr>
              <w:t>ontrat</w:t>
            </w:r>
          </w:p>
        </w:tc>
      </w:tr>
      <w:tr w:rsidR="00A04E8D" w:rsidRPr="005C3D41" w14:paraId="528C132F" w14:textId="77777777" w:rsidTr="00265772">
        <w:tc>
          <w:tcPr>
            <w:tcW w:w="7285" w:type="dxa"/>
          </w:tcPr>
          <w:p w14:paraId="42EA404E" w14:textId="4E83B688" w:rsidR="00A04E8D" w:rsidRPr="003443C3" w:rsidRDefault="003443C3" w:rsidP="00265772">
            <w:pPr>
              <w:spacing w:after="120"/>
              <w:jc w:val="both"/>
              <w:rPr>
                <w:rFonts w:cstheme="minorHAnsi"/>
                <w:lang w:val="fr-FR"/>
              </w:rPr>
            </w:pPr>
            <w:r w:rsidRPr="003443C3">
              <w:rPr>
                <w:rFonts w:cstheme="minorHAnsi"/>
                <w:b/>
                <w:lang w:val="fr-FR"/>
              </w:rPr>
              <w:t xml:space="preserve">Rapport final sur les recommandations relatives au cadre de résilience et de redressement des logements : </w:t>
            </w:r>
            <w:r w:rsidRPr="00BA6C12">
              <w:rPr>
                <w:rFonts w:cstheme="minorHAnsi"/>
                <w:bCs/>
                <w:lang w:val="fr-FR"/>
              </w:rPr>
              <w:t>(en anglais et en français). Ce rapport inclura les commentaires et les conseils fournis par l'UCP.</w:t>
            </w:r>
          </w:p>
        </w:tc>
        <w:tc>
          <w:tcPr>
            <w:tcW w:w="2065" w:type="dxa"/>
          </w:tcPr>
          <w:p w14:paraId="2FB1C980" w14:textId="607AED01" w:rsidR="00A04E8D" w:rsidRPr="00BA6C12" w:rsidRDefault="00A04E8D" w:rsidP="00265772">
            <w:pPr>
              <w:rPr>
                <w:rFonts w:cstheme="minorHAnsi"/>
                <w:lang w:val="fr-FR"/>
              </w:rPr>
            </w:pPr>
            <w:r w:rsidRPr="00BA6C12">
              <w:rPr>
                <w:rFonts w:cstheme="minorHAnsi"/>
                <w:lang w:val="fr-FR"/>
              </w:rPr>
              <w:t xml:space="preserve">12 </w:t>
            </w:r>
            <w:r w:rsidR="00BA6C12">
              <w:rPr>
                <w:rFonts w:cstheme="minorHAnsi"/>
                <w:lang w:val="fr-FR"/>
              </w:rPr>
              <w:t>mois</w:t>
            </w:r>
            <w:r w:rsidR="00BA6C12" w:rsidRPr="00A04E8D">
              <w:rPr>
                <w:rFonts w:cstheme="minorHAnsi"/>
                <w:lang w:val="fr-FR"/>
              </w:rPr>
              <w:t xml:space="preserve"> après signature du c</w:t>
            </w:r>
            <w:r w:rsidR="00BA6C12">
              <w:rPr>
                <w:rFonts w:cstheme="minorHAnsi"/>
                <w:lang w:val="fr-FR"/>
              </w:rPr>
              <w:t>ontrat</w:t>
            </w:r>
          </w:p>
        </w:tc>
      </w:tr>
      <w:tr w:rsidR="00A04E8D" w:rsidRPr="005C3D41" w14:paraId="616AD281" w14:textId="77777777" w:rsidTr="00265772">
        <w:tc>
          <w:tcPr>
            <w:tcW w:w="7285" w:type="dxa"/>
          </w:tcPr>
          <w:p w14:paraId="4C0184A7" w14:textId="685EB439" w:rsidR="00A04E8D" w:rsidRPr="00CD6076" w:rsidRDefault="00CD6076" w:rsidP="00044498">
            <w:pPr>
              <w:spacing w:after="120"/>
              <w:jc w:val="both"/>
              <w:rPr>
                <w:rFonts w:cstheme="minorHAnsi"/>
                <w:lang w:val="fr-FR"/>
              </w:rPr>
            </w:pPr>
            <w:r w:rsidRPr="00002477">
              <w:rPr>
                <w:rFonts w:cstheme="minorHAnsi"/>
                <w:b/>
                <w:bCs/>
                <w:lang w:val="fr-FR"/>
              </w:rPr>
              <w:t>Présentation</w:t>
            </w:r>
            <w:r w:rsidRPr="00CD6076">
              <w:rPr>
                <w:rFonts w:cstheme="minorHAnsi"/>
                <w:b/>
                <w:bCs/>
                <w:lang w:val="fr-FR"/>
              </w:rPr>
              <w:t xml:space="preserve"> </w:t>
            </w:r>
            <w:r w:rsidR="00A04E8D" w:rsidRPr="00CD6076">
              <w:rPr>
                <w:rFonts w:cstheme="minorHAnsi"/>
                <w:b/>
                <w:bCs/>
                <w:lang w:val="fr-FR"/>
              </w:rPr>
              <w:t>Powerpoint</w:t>
            </w:r>
            <w:r w:rsidR="00A04E8D" w:rsidRPr="00CD6076">
              <w:rPr>
                <w:rFonts w:cstheme="minorHAnsi"/>
                <w:lang w:val="fr-FR"/>
              </w:rPr>
              <w:t xml:space="preserve">: </w:t>
            </w:r>
            <w:r w:rsidRPr="00CD6076">
              <w:rPr>
                <w:rFonts w:cstheme="minorHAnsi"/>
                <w:lang w:val="fr-FR"/>
              </w:rPr>
              <w:t>(En anglais et en français) Cette présentation doit résumer les points forts de l'analyse du problème par le consultant, l'analyse des contraintes, les recommandations aux principales parties prenantes (UCP, UCLBP, Banque mondiale). La présentation finale inclura les commentaires et les recommandations de l'UCP.</w:t>
            </w:r>
          </w:p>
        </w:tc>
        <w:tc>
          <w:tcPr>
            <w:tcW w:w="2065" w:type="dxa"/>
          </w:tcPr>
          <w:p w14:paraId="714AE61D" w14:textId="424F4B66" w:rsidR="00A04E8D" w:rsidRPr="00CD6076" w:rsidRDefault="00A04E8D" w:rsidP="00265772">
            <w:pPr>
              <w:rPr>
                <w:rFonts w:cstheme="minorHAnsi"/>
                <w:lang w:val="fr-FR"/>
              </w:rPr>
            </w:pPr>
            <w:r w:rsidRPr="00CD6076">
              <w:rPr>
                <w:rFonts w:cstheme="minorHAnsi"/>
                <w:lang w:val="fr-FR"/>
              </w:rPr>
              <w:t xml:space="preserve">12 </w:t>
            </w:r>
            <w:r w:rsidR="00CD6076">
              <w:rPr>
                <w:rFonts w:cstheme="minorHAnsi"/>
                <w:lang w:val="fr-FR"/>
              </w:rPr>
              <w:t>mois</w:t>
            </w:r>
            <w:r w:rsidR="00CD6076" w:rsidRPr="00A04E8D">
              <w:rPr>
                <w:rFonts w:cstheme="minorHAnsi"/>
                <w:lang w:val="fr-FR"/>
              </w:rPr>
              <w:t xml:space="preserve"> après signature du c</w:t>
            </w:r>
            <w:r w:rsidR="00CD6076">
              <w:rPr>
                <w:rFonts w:cstheme="minorHAnsi"/>
                <w:lang w:val="fr-FR"/>
              </w:rPr>
              <w:t>ontrat</w:t>
            </w:r>
          </w:p>
        </w:tc>
      </w:tr>
    </w:tbl>
    <w:p w14:paraId="2EE94732" w14:textId="77777777" w:rsidR="00CD6076" w:rsidRPr="00044498" w:rsidRDefault="00CD6076" w:rsidP="00CD6076">
      <w:pPr>
        <w:pStyle w:val="Heading1"/>
        <w:numPr>
          <w:ilvl w:val="0"/>
          <w:numId w:val="0"/>
        </w:numPr>
        <w:spacing w:afterLines="120" w:after="288" w:line="240" w:lineRule="auto"/>
        <w:ind w:left="720"/>
        <w:jc w:val="both"/>
        <w:rPr>
          <w:rFonts w:asciiTheme="minorHAnsi" w:hAnsiTheme="minorHAnsi" w:cstheme="minorHAnsi"/>
          <w:lang w:val="fr-FR"/>
        </w:rPr>
      </w:pPr>
    </w:p>
    <w:p w14:paraId="30677207" w14:textId="636182F1" w:rsidR="0025129E" w:rsidRPr="00002477" w:rsidRDefault="0025129E" w:rsidP="0025129E">
      <w:pPr>
        <w:pStyle w:val="Heading1"/>
        <w:spacing w:afterLines="120" w:after="288" w:line="240" w:lineRule="auto"/>
        <w:jc w:val="both"/>
        <w:rPr>
          <w:rFonts w:asciiTheme="minorHAnsi" w:hAnsiTheme="minorHAnsi" w:cstheme="minorHAnsi"/>
        </w:rPr>
      </w:pPr>
      <w:r w:rsidRPr="00002477">
        <w:rPr>
          <w:rFonts w:asciiTheme="minorHAnsi" w:hAnsiTheme="minorHAnsi" w:cstheme="minorHAnsi"/>
        </w:rPr>
        <w:t>Qualifications requises</w:t>
      </w:r>
    </w:p>
    <w:p w14:paraId="44616BAB" w14:textId="596285F7" w:rsidR="00795AF2" w:rsidRPr="00795AF2" w:rsidRDefault="00795AF2" w:rsidP="00C538E4">
      <w:pPr>
        <w:pStyle w:val="ListParagraph"/>
        <w:numPr>
          <w:ilvl w:val="0"/>
          <w:numId w:val="13"/>
        </w:numPr>
        <w:spacing w:before="120" w:after="120" w:line="240" w:lineRule="auto"/>
        <w:contextualSpacing/>
        <w:jc w:val="both"/>
        <w:rPr>
          <w:rFonts w:cstheme="minorHAnsi"/>
          <w:lang w:val="fr-FR"/>
        </w:rPr>
      </w:pPr>
      <w:r w:rsidRPr="00795AF2">
        <w:rPr>
          <w:rFonts w:cstheme="minorHAnsi"/>
          <w:lang w:val="fr-FR"/>
        </w:rPr>
        <w:t>Connaissance actualisée de la situation institutionnelle et socio-économique d'Haïti.</w:t>
      </w:r>
    </w:p>
    <w:p w14:paraId="686C5630" w14:textId="0B1D62C0" w:rsidR="00795AF2" w:rsidRPr="00795AF2" w:rsidRDefault="00795AF2" w:rsidP="00C538E4">
      <w:pPr>
        <w:pStyle w:val="ListParagraph"/>
        <w:numPr>
          <w:ilvl w:val="0"/>
          <w:numId w:val="13"/>
        </w:numPr>
        <w:spacing w:before="120" w:after="120" w:line="240" w:lineRule="auto"/>
        <w:contextualSpacing/>
        <w:jc w:val="both"/>
        <w:rPr>
          <w:rFonts w:cstheme="minorHAnsi"/>
          <w:lang w:val="fr-FR"/>
        </w:rPr>
      </w:pPr>
      <w:r w:rsidRPr="00795AF2">
        <w:rPr>
          <w:rFonts w:cstheme="minorHAnsi"/>
          <w:lang w:val="fr-FR"/>
        </w:rPr>
        <w:t xml:space="preserve">Au moins 10 ans d'expérience technique dans le secteur du logement, du financement du logement et de la gestion des risques de catastrophes en Haïti et à l'étranger. </w:t>
      </w:r>
    </w:p>
    <w:p w14:paraId="1F334BD4" w14:textId="28BF5E4F" w:rsidR="00795AF2" w:rsidRPr="00795AF2" w:rsidRDefault="00795AF2" w:rsidP="00C538E4">
      <w:pPr>
        <w:pStyle w:val="ListParagraph"/>
        <w:numPr>
          <w:ilvl w:val="0"/>
          <w:numId w:val="13"/>
        </w:numPr>
        <w:spacing w:before="120" w:after="120" w:line="240" w:lineRule="auto"/>
        <w:contextualSpacing/>
        <w:jc w:val="both"/>
        <w:rPr>
          <w:rFonts w:cstheme="minorHAnsi"/>
          <w:lang w:val="fr-FR"/>
        </w:rPr>
      </w:pPr>
      <w:r w:rsidRPr="00795AF2">
        <w:rPr>
          <w:rFonts w:cstheme="minorHAnsi"/>
          <w:lang w:val="fr-FR"/>
        </w:rPr>
        <w:t>Bonne connaissance de l'administration publique haïtienne et du rôle des acteurs internationaux (bailleurs de fonds, organisations internationales, ONG).</w:t>
      </w:r>
    </w:p>
    <w:p w14:paraId="0DF0B612" w14:textId="00852700" w:rsidR="00795AF2" w:rsidRPr="00795AF2" w:rsidRDefault="00795AF2" w:rsidP="00C538E4">
      <w:pPr>
        <w:pStyle w:val="ListParagraph"/>
        <w:numPr>
          <w:ilvl w:val="0"/>
          <w:numId w:val="13"/>
        </w:numPr>
        <w:spacing w:before="120" w:after="120" w:line="240" w:lineRule="auto"/>
        <w:contextualSpacing/>
        <w:jc w:val="both"/>
        <w:rPr>
          <w:rFonts w:cstheme="minorHAnsi"/>
          <w:lang w:val="fr-FR"/>
        </w:rPr>
      </w:pPr>
      <w:r w:rsidRPr="00795AF2">
        <w:rPr>
          <w:rFonts w:cstheme="minorHAnsi"/>
          <w:lang w:val="fr-FR"/>
        </w:rPr>
        <w:t xml:space="preserve">Compréhension des pratiques de développement du logement, des marchés du logement et des pratiques de financement du logement en Haïti. </w:t>
      </w:r>
    </w:p>
    <w:p w14:paraId="668590E7" w14:textId="1E68B9BB" w:rsidR="00795AF2" w:rsidRPr="00795AF2" w:rsidRDefault="00795AF2" w:rsidP="00C538E4">
      <w:pPr>
        <w:pStyle w:val="ListParagraph"/>
        <w:numPr>
          <w:ilvl w:val="0"/>
          <w:numId w:val="13"/>
        </w:numPr>
        <w:spacing w:before="120" w:after="120" w:line="240" w:lineRule="auto"/>
        <w:contextualSpacing/>
        <w:jc w:val="both"/>
        <w:rPr>
          <w:rFonts w:cstheme="minorHAnsi"/>
          <w:lang w:val="fr-FR"/>
        </w:rPr>
      </w:pPr>
      <w:r w:rsidRPr="00795AF2">
        <w:rPr>
          <w:rFonts w:cstheme="minorHAnsi"/>
          <w:lang w:val="fr-FR"/>
        </w:rPr>
        <w:t xml:space="preserve">Compréhension de la Politique Nationale du Logement et de l'Habitat (PNLH), cadre normatif et réglementaire du secteur du logement en Haïti. </w:t>
      </w:r>
    </w:p>
    <w:p w14:paraId="2D14C8E2" w14:textId="2CC5A70F" w:rsidR="00795AF2" w:rsidRPr="00795AF2" w:rsidRDefault="00795AF2" w:rsidP="00C538E4">
      <w:pPr>
        <w:pStyle w:val="ListParagraph"/>
        <w:numPr>
          <w:ilvl w:val="0"/>
          <w:numId w:val="13"/>
        </w:numPr>
        <w:spacing w:before="120" w:after="120" w:line="240" w:lineRule="auto"/>
        <w:contextualSpacing/>
        <w:jc w:val="both"/>
        <w:rPr>
          <w:rFonts w:cstheme="minorHAnsi"/>
          <w:lang w:val="fr-FR"/>
        </w:rPr>
      </w:pPr>
      <w:r w:rsidRPr="00795AF2">
        <w:rPr>
          <w:rFonts w:cstheme="minorHAnsi"/>
          <w:lang w:val="fr-FR"/>
        </w:rPr>
        <w:t xml:space="preserve">Expérience </w:t>
      </w:r>
      <w:r w:rsidR="0022289C">
        <w:rPr>
          <w:rFonts w:cstheme="minorHAnsi"/>
          <w:lang w:val="fr-FR"/>
        </w:rPr>
        <w:t xml:space="preserve">dans </w:t>
      </w:r>
      <w:r w:rsidRPr="00795AF2">
        <w:rPr>
          <w:rFonts w:cstheme="minorHAnsi"/>
          <w:lang w:val="fr-FR"/>
        </w:rPr>
        <w:t>des projets financés par des bailleurs de fonds en Haïti et dans des pays à faible revenu similaires.</w:t>
      </w:r>
    </w:p>
    <w:p w14:paraId="116B4D36" w14:textId="254C98A8" w:rsidR="00795AF2" w:rsidRPr="00795AF2" w:rsidRDefault="00795AF2" w:rsidP="00C538E4">
      <w:pPr>
        <w:pStyle w:val="ListParagraph"/>
        <w:numPr>
          <w:ilvl w:val="0"/>
          <w:numId w:val="13"/>
        </w:numPr>
        <w:spacing w:before="120" w:after="120" w:line="240" w:lineRule="auto"/>
        <w:contextualSpacing/>
        <w:jc w:val="both"/>
        <w:rPr>
          <w:rFonts w:cstheme="minorHAnsi"/>
          <w:lang w:val="fr-FR"/>
        </w:rPr>
      </w:pPr>
      <w:r w:rsidRPr="00795AF2">
        <w:rPr>
          <w:rFonts w:cstheme="minorHAnsi"/>
          <w:lang w:val="fr-FR"/>
        </w:rPr>
        <w:t xml:space="preserve">Expérience de l'analyse des politiques liées au développement du logement, y compris la reconstruction de logements après une catastrophe, dans un contexte de conflit fragile et de violence.  </w:t>
      </w:r>
    </w:p>
    <w:p w14:paraId="30645E72" w14:textId="77777777" w:rsidR="00C538E4" w:rsidRDefault="00795AF2" w:rsidP="00C538E4">
      <w:pPr>
        <w:pStyle w:val="ListParagraph"/>
        <w:numPr>
          <w:ilvl w:val="0"/>
          <w:numId w:val="13"/>
        </w:numPr>
        <w:spacing w:before="120" w:after="120" w:line="240" w:lineRule="auto"/>
        <w:contextualSpacing/>
        <w:jc w:val="both"/>
        <w:rPr>
          <w:rFonts w:cstheme="minorHAnsi"/>
          <w:lang w:val="fr-FR"/>
        </w:rPr>
      </w:pPr>
      <w:r w:rsidRPr="00795AF2">
        <w:rPr>
          <w:rFonts w:cstheme="minorHAnsi"/>
          <w:lang w:val="fr-FR"/>
        </w:rPr>
        <w:t>Forte capacité de gestion de projet et d'équipe.</w:t>
      </w:r>
    </w:p>
    <w:p w14:paraId="3D055F4C" w14:textId="642E2077" w:rsidR="00BD19D4" w:rsidRPr="00C538E4" w:rsidRDefault="007577B6" w:rsidP="00C538E4">
      <w:pPr>
        <w:pStyle w:val="ListParagraph"/>
        <w:numPr>
          <w:ilvl w:val="0"/>
          <w:numId w:val="13"/>
        </w:numPr>
        <w:spacing w:before="120" w:after="120" w:line="240" w:lineRule="auto"/>
        <w:contextualSpacing/>
        <w:jc w:val="both"/>
        <w:rPr>
          <w:rFonts w:cstheme="minorHAnsi"/>
          <w:lang w:val="fr-FR"/>
        </w:rPr>
      </w:pPr>
      <w:r>
        <w:rPr>
          <w:rFonts w:cstheme="minorHAnsi"/>
          <w:lang w:val="fr-FR"/>
        </w:rPr>
        <w:t>Capaci</w:t>
      </w:r>
      <w:r w:rsidR="000F2103">
        <w:rPr>
          <w:rFonts w:cstheme="minorHAnsi"/>
          <w:lang w:val="fr-FR"/>
        </w:rPr>
        <w:t xml:space="preserve">té du </w:t>
      </w:r>
      <w:r w:rsidR="00795AF2" w:rsidRPr="00C538E4">
        <w:rPr>
          <w:rFonts w:cstheme="minorHAnsi"/>
          <w:lang w:val="fr-FR"/>
        </w:rPr>
        <w:t xml:space="preserve">personnel </w:t>
      </w:r>
      <w:r w:rsidR="000F2103">
        <w:rPr>
          <w:rFonts w:cstheme="minorHAnsi"/>
          <w:lang w:val="fr-FR"/>
        </w:rPr>
        <w:t xml:space="preserve">à </w:t>
      </w:r>
      <w:r w:rsidR="00795AF2" w:rsidRPr="00C538E4">
        <w:rPr>
          <w:rFonts w:cstheme="minorHAnsi"/>
          <w:lang w:val="fr-FR"/>
        </w:rPr>
        <w:t>parle</w:t>
      </w:r>
      <w:r w:rsidR="000F2103">
        <w:rPr>
          <w:rFonts w:cstheme="minorHAnsi"/>
          <w:lang w:val="fr-FR"/>
        </w:rPr>
        <w:t>r</w:t>
      </w:r>
      <w:r w:rsidR="00795AF2" w:rsidRPr="00C538E4">
        <w:rPr>
          <w:rFonts w:cstheme="minorHAnsi"/>
          <w:lang w:val="fr-FR"/>
        </w:rPr>
        <w:t xml:space="preserve"> couramment l'anglais et le français (le créole serait un plus) et </w:t>
      </w:r>
      <w:r w:rsidR="0000074C" w:rsidRPr="00C538E4">
        <w:rPr>
          <w:rFonts w:cstheme="minorHAnsi"/>
          <w:lang w:val="fr-FR"/>
        </w:rPr>
        <w:t>posséd</w:t>
      </w:r>
      <w:r w:rsidR="0000074C">
        <w:rPr>
          <w:rFonts w:cstheme="minorHAnsi"/>
          <w:lang w:val="fr-FR"/>
        </w:rPr>
        <w:t>ant</w:t>
      </w:r>
      <w:r w:rsidR="00795AF2" w:rsidRPr="00C538E4">
        <w:rPr>
          <w:rFonts w:cstheme="minorHAnsi"/>
          <w:lang w:val="fr-FR"/>
        </w:rPr>
        <w:t xml:space="preserve"> de bonnes capacités d'analyse et de rédaction.</w:t>
      </w:r>
    </w:p>
    <w:p w14:paraId="648FECAA" w14:textId="4086AC16" w:rsidR="0079068F" w:rsidRPr="00002477" w:rsidRDefault="0079068F" w:rsidP="006852B3">
      <w:pPr>
        <w:pStyle w:val="Heading1"/>
        <w:spacing w:afterLines="120" w:after="288" w:line="240" w:lineRule="auto"/>
        <w:jc w:val="both"/>
        <w:rPr>
          <w:rFonts w:asciiTheme="minorHAnsi" w:hAnsiTheme="minorHAnsi" w:cstheme="minorHAnsi"/>
        </w:rPr>
      </w:pPr>
      <w:r w:rsidRPr="00002477">
        <w:rPr>
          <w:rFonts w:asciiTheme="minorHAnsi" w:hAnsiTheme="minorHAnsi" w:cstheme="minorHAnsi"/>
        </w:rPr>
        <w:t xml:space="preserve">Administration </w:t>
      </w:r>
      <w:r w:rsidR="00BD19D4" w:rsidRPr="00002477">
        <w:rPr>
          <w:rFonts w:asciiTheme="minorHAnsi" w:hAnsiTheme="minorHAnsi" w:cstheme="minorHAnsi"/>
        </w:rPr>
        <w:t>de la consultation</w:t>
      </w:r>
    </w:p>
    <w:p w14:paraId="737A702D" w14:textId="7CC77F16" w:rsidR="001A34EE" w:rsidRPr="00A77360" w:rsidRDefault="00A77360" w:rsidP="001A34EE">
      <w:pPr>
        <w:spacing w:before="120" w:after="120" w:line="240" w:lineRule="auto"/>
        <w:jc w:val="both"/>
        <w:rPr>
          <w:rFonts w:cstheme="minorHAnsi"/>
          <w:lang w:val="en-US"/>
        </w:rPr>
      </w:pPr>
      <w:r w:rsidRPr="00A77360">
        <w:rPr>
          <w:rFonts w:eastAsia="Times New Roman" w:cstheme="minorHAnsi"/>
          <w:b/>
          <w:bCs/>
          <w:lang w:val="en-US"/>
        </w:rPr>
        <w:lastRenderedPageBreak/>
        <w:t>Durée</w:t>
      </w:r>
      <w:r w:rsidR="00042B51" w:rsidRPr="00A77360">
        <w:rPr>
          <w:rFonts w:eastAsia="Times New Roman" w:cstheme="minorHAnsi"/>
          <w:b/>
          <w:bCs/>
          <w:lang w:val="en-US"/>
        </w:rPr>
        <w:t xml:space="preserve"> de la consultation </w:t>
      </w:r>
    </w:p>
    <w:p w14:paraId="7DFDD848" w14:textId="60A622C5" w:rsidR="001A34EE" w:rsidRPr="00002477" w:rsidRDefault="001A34EE" w:rsidP="001A34EE">
      <w:pPr>
        <w:spacing w:after="0" w:line="240" w:lineRule="auto"/>
        <w:jc w:val="both"/>
        <w:rPr>
          <w:rFonts w:eastAsia="Times New Roman" w:cstheme="minorHAnsi"/>
          <w:bCs/>
          <w:lang w:val="fr-FR"/>
        </w:rPr>
      </w:pPr>
      <w:r w:rsidRPr="00002477">
        <w:rPr>
          <w:rFonts w:eastAsia="Times New Roman" w:cstheme="minorHAnsi"/>
          <w:bCs/>
          <w:lang w:val="fr-FR"/>
        </w:rPr>
        <w:t xml:space="preserve">La consultation est prévue pour </w:t>
      </w:r>
      <w:r w:rsidR="0000074C" w:rsidRPr="00002477">
        <w:rPr>
          <w:rFonts w:eastAsia="Times New Roman" w:cstheme="minorHAnsi"/>
          <w:bCs/>
          <w:lang w:val="fr-FR"/>
        </w:rPr>
        <w:t xml:space="preserve">une durée de </w:t>
      </w:r>
      <w:r w:rsidR="0000074C">
        <w:rPr>
          <w:rFonts w:eastAsia="Times New Roman" w:cstheme="minorHAnsi"/>
          <w:bCs/>
          <w:lang w:val="fr-FR"/>
        </w:rPr>
        <w:t xml:space="preserve">12 mois </w:t>
      </w:r>
      <w:r w:rsidR="0000074C" w:rsidRPr="00002477">
        <w:rPr>
          <w:rFonts w:eastAsia="Times New Roman" w:cstheme="minorHAnsi"/>
          <w:bCs/>
          <w:lang w:val="fr-FR"/>
        </w:rPr>
        <w:t>calendaire</w:t>
      </w:r>
      <w:r w:rsidRPr="00002477">
        <w:rPr>
          <w:rFonts w:eastAsia="Times New Roman" w:cstheme="minorHAnsi"/>
          <w:bCs/>
          <w:lang w:val="fr-FR"/>
        </w:rPr>
        <w:t xml:space="preserve"> à compter de la signature du contrat et de l’avance de démarrage.</w:t>
      </w:r>
    </w:p>
    <w:p w14:paraId="0E5F3998" w14:textId="77777777" w:rsidR="001A34EE" w:rsidRPr="00002477" w:rsidRDefault="001A34EE" w:rsidP="001A34EE">
      <w:pPr>
        <w:spacing w:after="0" w:line="240" w:lineRule="auto"/>
        <w:jc w:val="both"/>
        <w:rPr>
          <w:rFonts w:eastAsia="Times New Roman" w:cstheme="minorHAnsi"/>
          <w:bCs/>
          <w:lang w:val="fr-FR"/>
        </w:rPr>
      </w:pPr>
    </w:p>
    <w:p w14:paraId="6DCF9C2D" w14:textId="77777777" w:rsidR="00FB6022" w:rsidRDefault="00FB6022" w:rsidP="001A34EE">
      <w:pPr>
        <w:spacing w:after="0" w:line="240" w:lineRule="auto"/>
        <w:jc w:val="both"/>
        <w:rPr>
          <w:rFonts w:eastAsia="Times New Roman" w:cstheme="minorHAnsi"/>
          <w:b/>
          <w:bCs/>
          <w:lang w:val="fr-FR"/>
        </w:rPr>
      </w:pPr>
    </w:p>
    <w:p w14:paraId="411CDB7E" w14:textId="77777777" w:rsidR="00FB6022" w:rsidRDefault="00FB6022" w:rsidP="001A34EE">
      <w:pPr>
        <w:spacing w:after="0" w:line="240" w:lineRule="auto"/>
        <w:jc w:val="both"/>
        <w:rPr>
          <w:rFonts w:eastAsia="Times New Roman" w:cstheme="minorHAnsi"/>
          <w:b/>
          <w:bCs/>
          <w:lang w:val="fr-FR"/>
        </w:rPr>
      </w:pPr>
    </w:p>
    <w:p w14:paraId="7631445F" w14:textId="50A766BA" w:rsidR="001A34EE" w:rsidRDefault="00A77360" w:rsidP="001A34EE">
      <w:pPr>
        <w:spacing w:after="0" w:line="240" w:lineRule="auto"/>
        <w:jc w:val="both"/>
        <w:rPr>
          <w:rFonts w:eastAsia="Times New Roman" w:cstheme="minorHAnsi"/>
          <w:b/>
          <w:bCs/>
          <w:lang w:val="fr-FR"/>
        </w:rPr>
      </w:pPr>
      <w:r w:rsidRPr="00A77360">
        <w:rPr>
          <w:rFonts w:eastAsia="Times New Roman" w:cstheme="minorHAnsi"/>
          <w:b/>
          <w:bCs/>
          <w:lang w:val="fr-FR"/>
        </w:rPr>
        <w:t>Honoraires et modalités de paiement</w:t>
      </w:r>
    </w:p>
    <w:p w14:paraId="7EFC4261" w14:textId="77777777" w:rsidR="00A77360" w:rsidRPr="00A77360" w:rsidRDefault="00A77360" w:rsidP="001A34EE">
      <w:pPr>
        <w:spacing w:after="0" w:line="240" w:lineRule="auto"/>
        <w:jc w:val="both"/>
        <w:rPr>
          <w:rFonts w:eastAsia="Times New Roman" w:cstheme="minorHAnsi"/>
          <w:b/>
          <w:bCs/>
          <w:lang w:val="fr-FR"/>
        </w:rPr>
      </w:pPr>
    </w:p>
    <w:p w14:paraId="5B18EDA4" w14:textId="77777777" w:rsidR="001A34EE" w:rsidRPr="00002477" w:rsidRDefault="001A34EE" w:rsidP="001A34EE">
      <w:pPr>
        <w:rPr>
          <w:rFonts w:eastAsia="Times New Roman" w:cstheme="minorHAnsi"/>
          <w:bCs/>
          <w:lang w:val="fr-FR"/>
        </w:rPr>
      </w:pPr>
      <w:r w:rsidRPr="00002477">
        <w:rPr>
          <w:rFonts w:eastAsia="Times New Roman" w:cstheme="minorHAnsi"/>
          <w:bCs/>
          <w:lang w:val="fr-FR"/>
        </w:rPr>
        <w:t xml:space="preserve">La proposition financière tiendra compte des honoraires, des frais d’impression et autres à l’exception des redevances fiscales du consultant qui sont à sa charge. </w:t>
      </w:r>
    </w:p>
    <w:p w14:paraId="59483FD1" w14:textId="77777777" w:rsidR="00CF2047" w:rsidRPr="00002477" w:rsidRDefault="00CF2047" w:rsidP="00CF2047">
      <w:pPr>
        <w:rPr>
          <w:rFonts w:cstheme="minorHAnsi"/>
          <w:lang w:val="fr-FR" w:eastAsia="zh-CN"/>
        </w:rPr>
      </w:pPr>
      <w:r w:rsidRPr="00002477">
        <w:rPr>
          <w:rFonts w:cstheme="minorHAnsi"/>
          <w:lang w:val="fr-FR" w:eastAsia="zh-CN"/>
        </w:rPr>
        <w:t xml:space="preserve">Les paiements seront subordonnés à l'acceptation et à la signature par l'UCP/MICT des produits livrables convenus. Des réunions régulières seront organisées avec les équipes de l'UCP, de l'UCLBP et de la Banque mondiale pour suivre l'avancement de la mission. </w:t>
      </w:r>
    </w:p>
    <w:p w14:paraId="38317C2F" w14:textId="43C5197B" w:rsidR="00CF2047" w:rsidRPr="00002477" w:rsidRDefault="00CF2047" w:rsidP="00CF2047">
      <w:pPr>
        <w:rPr>
          <w:rFonts w:cstheme="minorHAnsi"/>
          <w:lang w:val="fr-FR" w:eastAsia="zh-CN"/>
        </w:rPr>
      </w:pPr>
      <w:r w:rsidRPr="00002477">
        <w:rPr>
          <w:rFonts w:cstheme="minorHAnsi"/>
          <w:lang w:val="fr-FR" w:eastAsia="zh-CN"/>
        </w:rPr>
        <w:t>Le paiement sera effectué au consultant après l'approbation des livrables suivants.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8005"/>
        <w:gridCol w:w="1296"/>
      </w:tblGrid>
      <w:tr w:rsidR="001A34EE" w:rsidRPr="00002477" w14:paraId="0C7C2A00" w14:textId="77777777" w:rsidTr="00C95545">
        <w:tc>
          <w:tcPr>
            <w:tcW w:w="8005" w:type="dxa"/>
            <w:shd w:val="clear" w:color="auto" w:fill="auto"/>
            <w:tcMar>
              <w:top w:w="80" w:type="dxa"/>
              <w:left w:w="80" w:type="dxa"/>
              <w:bottom w:w="80" w:type="dxa"/>
              <w:right w:w="80" w:type="dxa"/>
            </w:tcMar>
            <w:hideMark/>
          </w:tcPr>
          <w:p w14:paraId="69E1E2A4" w14:textId="143B0706" w:rsidR="001A34EE" w:rsidRPr="00002477" w:rsidRDefault="00CF2047" w:rsidP="00C95545">
            <w:pPr>
              <w:spacing w:after="0"/>
              <w:jc w:val="center"/>
              <w:rPr>
                <w:rFonts w:cstheme="minorHAnsi"/>
                <w:b/>
              </w:rPr>
            </w:pPr>
            <w:r w:rsidRPr="00002477">
              <w:rPr>
                <w:rFonts w:cstheme="minorHAnsi"/>
                <w:b/>
                <w:lang w:val="fr-FR"/>
              </w:rPr>
              <w:t xml:space="preserve"> </w:t>
            </w:r>
            <w:r w:rsidR="002C29FC">
              <w:rPr>
                <w:rFonts w:cstheme="minorHAnsi"/>
                <w:b/>
                <w:lang w:val="fr-FR"/>
              </w:rPr>
              <w:t>Activités/</w:t>
            </w:r>
            <w:r w:rsidRPr="00002477">
              <w:rPr>
                <w:rFonts w:cstheme="minorHAnsi"/>
                <w:b/>
              </w:rPr>
              <w:t>Livrables</w:t>
            </w:r>
          </w:p>
        </w:tc>
        <w:tc>
          <w:tcPr>
            <w:tcW w:w="1296" w:type="dxa"/>
            <w:shd w:val="clear" w:color="auto" w:fill="auto"/>
          </w:tcPr>
          <w:p w14:paraId="19C09761" w14:textId="59EE18F3" w:rsidR="001A34EE" w:rsidRPr="00002477" w:rsidRDefault="001A34EE" w:rsidP="00C95545">
            <w:pPr>
              <w:spacing w:after="0"/>
              <w:jc w:val="center"/>
              <w:rPr>
                <w:rFonts w:cstheme="minorHAnsi"/>
                <w:b/>
              </w:rPr>
            </w:pPr>
            <w:r w:rsidRPr="00002477">
              <w:rPr>
                <w:rFonts w:cstheme="minorHAnsi"/>
                <w:b/>
              </w:rPr>
              <w:t>Pa</w:t>
            </w:r>
            <w:r w:rsidR="00CF2047" w:rsidRPr="00002477">
              <w:rPr>
                <w:rFonts w:cstheme="minorHAnsi"/>
                <w:b/>
              </w:rPr>
              <w:t>ie</w:t>
            </w:r>
            <w:r w:rsidRPr="00002477">
              <w:rPr>
                <w:rFonts w:cstheme="minorHAnsi"/>
                <w:b/>
              </w:rPr>
              <w:t>ments</w:t>
            </w:r>
          </w:p>
        </w:tc>
      </w:tr>
      <w:tr w:rsidR="001A34EE" w:rsidRPr="00002477" w14:paraId="4BB21BA6" w14:textId="77777777" w:rsidTr="00C95545">
        <w:tc>
          <w:tcPr>
            <w:tcW w:w="8005" w:type="dxa"/>
            <w:shd w:val="clear" w:color="auto" w:fill="auto"/>
            <w:tcMar>
              <w:top w:w="80" w:type="dxa"/>
              <w:left w:w="80" w:type="dxa"/>
              <w:bottom w:w="80" w:type="dxa"/>
              <w:right w:w="80" w:type="dxa"/>
            </w:tcMar>
          </w:tcPr>
          <w:p w14:paraId="1263F99A" w14:textId="681AD343" w:rsidR="001A34EE" w:rsidRPr="00002477" w:rsidRDefault="00CF2047" w:rsidP="00C95545">
            <w:pPr>
              <w:spacing w:after="0"/>
              <w:rPr>
                <w:rFonts w:cstheme="minorHAnsi"/>
                <w:lang w:val="fr-FR"/>
              </w:rPr>
            </w:pPr>
            <w:r w:rsidRPr="00002477">
              <w:rPr>
                <w:rFonts w:cstheme="minorHAnsi"/>
                <w:lang w:val="fr-FR"/>
              </w:rPr>
              <w:t>A</w:t>
            </w:r>
            <w:r w:rsidR="00447A7E">
              <w:rPr>
                <w:rFonts w:cstheme="minorHAnsi"/>
                <w:lang w:val="fr-FR"/>
              </w:rPr>
              <w:t>vance de démarrage</w:t>
            </w:r>
          </w:p>
        </w:tc>
        <w:tc>
          <w:tcPr>
            <w:tcW w:w="1296" w:type="dxa"/>
            <w:shd w:val="clear" w:color="auto" w:fill="auto"/>
          </w:tcPr>
          <w:p w14:paraId="206B33E2" w14:textId="77777777" w:rsidR="001A34EE" w:rsidRPr="00002477" w:rsidRDefault="001A34EE" w:rsidP="00C95545">
            <w:pPr>
              <w:spacing w:after="0"/>
              <w:jc w:val="center"/>
              <w:rPr>
                <w:rFonts w:cstheme="minorHAnsi"/>
              </w:rPr>
            </w:pPr>
            <w:r w:rsidRPr="00002477">
              <w:rPr>
                <w:rFonts w:cstheme="minorHAnsi"/>
              </w:rPr>
              <w:t>10%</w:t>
            </w:r>
          </w:p>
        </w:tc>
      </w:tr>
      <w:tr w:rsidR="001A34EE" w:rsidRPr="00002477" w14:paraId="2D102ECE" w14:textId="77777777" w:rsidTr="00C95545">
        <w:tc>
          <w:tcPr>
            <w:tcW w:w="8005" w:type="dxa"/>
            <w:shd w:val="clear" w:color="auto" w:fill="auto"/>
            <w:tcMar>
              <w:top w:w="80" w:type="dxa"/>
              <w:left w:w="80" w:type="dxa"/>
              <w:bottom w:w="80" w:type="dxa"/>
              <w:right w:w="80" w:type="dxa"/>
            </w:tcMar>
          </w:tcPr>
          <w:p w14:paraId="0ADB9224" w14:textId="2BBCDBF8" w:rsidR="001A34EE" w:rsidRPr="00002477" w:rsidRDefault="00892470" w:rsidP="00892470">
            <w:pPr>
              <w:spacing w:afterLines="120" w:after="288" w:line="240" w:lineRule="auto"/>
              <w:jc w:val="both"/>
              <w:rPr>
                <w:rFonts w:cstheme="minorHAnsi"/>
                <w:lang w:val="fr-FR"/>
              </w:rPr>
            </w:pPr>
            <w:r w:rsidRPr="00002477">
              <w:rPr>
                <w:rFonts w:cstheme="minorHAnsi"/>
                <w:b/>
                <w:bCs/>
                <w:lang w:val="fr-FR"/>
              </w:rPr>
              <w:t>Livrable</w:t>
            </w:r>
            <w:r w:rsidR="001A34EE" w:rsidRPr="00002477">
              <w:rPr>
                <w:rFonts w:cstheme="minorHAnsi"/>
                <w:b/>
                <w:bCs/>
                <w:lang w:val="fr-FR"/>
              </w:rPr>
              <w:t xml:space="preserve"> </w:t>
            </w:r>
            <w:r w:rsidR="00B31812" w:rsidRPr="00002477">
              <w:rPr>
                <w:rFonts w:cstheme="minorHAnsi"/>
                <w:b/>
                <w:bCs/>
                <w:lang w:val="fr-FR"/>
              </w:rPr>
              <w:t>1 :</w:t>
            </w:r>
            <w:r w:rsidR="001A34EE" w:rsidRPr="00002477">
              <w:rPr>
                <w:rFonts w:cstheme="minorHAnsi"/>
                <w:b/>
                <w:bCs/>
                <w:lang w:val="fr-FR"/>
              </w:rPr>
              <w:t xml:space="preserve"> </w:t>
            </w:r>
            <w:r w:rsidRPr="00002477">
              <w:rPr>
                <w:rFonts w:cstheme="minorHAnsi"/>
                <w:lang w:val="fr-FR"/>
              </w:rPr>
              <w:t xml:space="preserve">Rapport initial </w:t>
            </w:r>
          </w:p>
        </w:tc>
        <w:tc>
          <w:tcPr>
            <w:tcW w:w="1296" w:type="dxa"/>
            <w:shd w:val="clear" w:color="auto" w:fill="auto"/>
          </w:tcPr>
          <w:p w14:paraId="24821299" w14:textId="77777777" w:rsidR="001A34EE" w:rsidRPr="00002477" w:rsidRDefault="001A34EE" w:rsidP="00C95545">
            <w:pPr>
              <w:spacing w:after="0"/>
              <w:jc w:val="center"/>
              <w:rPr>
                <w:rFonts w:cstheme="minorHAnsi"/>
              </w:rPr>
            </w:pPr>
            <w:r w:rsidRPr="00002477">
              <w:rPr>
                <w:rFonts w:cstheme="minorHAnsi"/>
              </w:rPr>
              <w:t>20%</w:t>
            </w:r>
          </w:p>
        </w:tc>
      </w:tr>
      <w:tr w:rsidR="001A34EE" w:rsidRPr="00002477" w14:paraId="08A48F66" w14:textId="77777777" w:rsidTr="00C95545">
        <w:tc>
          <w:tcPr>
            <w:tcW w:w="8005" w:type="dxa"/>
            <w:shd w:val="clear" w:color="auto" w:fill="auto"/>
            <w:tcMar>
              <w:top w:w="80" w:type="dxa"/>
              <w:left w:w="80" w:type="dxa"/>
              <w:bottom w:w="80" w:type="dxa"/>
              <w:right w:w="80" w:type="dxa"/>
            </w:tcMar>
          </w:tcPr>
          <w:p w14:paraId="1C421D30" w14:textId="6570E9BB" w:rsidR="001A34EE" w:rsidRPr="00002477" w:rsidRDefault="00EB22AD" w:rsidP="00EB22AD">
            <w:pPr>
              <w:spacing w:afterLines="120" w:after="288" w:line="240" w:lineRule="auto"/>
              <w:jc w:val="both"/>
              <w:rPr>
                <w:rFonts w:cstheme="minorHAnsi"/>
                <w:lang w:val="fr-FR"/>
              </w:rPr>
            </w:pPr>
            <w:r w:rsidRPr="00002477">
              <w:rPr>
                <w:rFonts w:cstheme="minorHAnsi"/>
                <w:b/>
                <w:bCs/>
                <w:lang w:val="fr-FR"/>
              </w:rPr>
              <w:t xml:space="preserve">Livrable </w:t>
            </w:r>
            <w:r w:rsidR="00B31812" w:rsidRPr="00002477">
              <w:rPr>
                <w:rFonts w:cstheme="minorHAnsi"/>
                <w:b/>
                <w:bCs/>
                <w:lang w:val="fr-FR"/>
              </w:rPr>
              <w:t>2 :</w:t>
            </w:r>
            <w:r w:rsidR="001A34EE" w:rsidRPr="00002477">
              <w:rPr>
                <w:rFonts w:cstheme="minorHAnsi"/>
                <w:b/>
                <w:bCs/>
                <w:lang w:val="fr-FR"/>
              </w:rPr>
              <w:t xml:space="preserve"> </w:t>
            </w:r>
            <w:r w:rsidR="009E1359" w:rsidRPr="009E1359">
              <w:rPr>
                <w:rFonts w:cstheme="minorHAnsi"/>
                <w:lang w:val="fr-FR"/>
              </w:rPr>
              <w:t>Projet de rapport sur l'analyse documentaire et projet de rapport sur les recommandations relatives au cadre de résilience et de redressement des logements.</w:t>
            </w:r>
          </w:p>
        </w:tc>
        <w:tc>
          <w:tcPr>
            <w:tcW w:w="1296" w:type="dxa"/>
            <w:shd w:val="clear" w:color="auto" w:fill="auto"/>
          </w:tcPr>
          <w:p w14:paraId="2F667508" w14:textId="29512C46" w:rsidR="001A34EE" w:rsidRPr="00002477" w:rsidRDefault="00905AC2" w:rsidP="00C95545">
            <w:pPr>
              <w:spacing w:after="0"/>
              <w:jc w:val="center"/>
              <w:rPr>
                <w:rFonts w:cstheme="minorHAnsi"/>
              </w:rPr>
            </w:pPr>
            <w:r>
              <w:rPr>
                <w:rFonts w:cstheme="minorHAnsi"/>
              </w:rPr>
              <w:t>5</w:t>
            </w:r>
            <w:r w:rsidR="001A34EE" w:rsidRPr="00002477">
              <w:rPr>
                <w:rFonts w:cstheme="minorHAnsi"/>
              </w:rPr>
              <w:t>0%</w:t>
            </w:r>
          </w:p>
        </w:tc>
      </w:tr>
      <w:tr w:rsidR="000F6EB8" w:rsidRPr="00002477" w14:paraId="74E662BF" w14:textId="77777777" w:rsidTr="00C95545">
        <w:tc>
          <w:tcPr>
            <w:tcW w:w="8005" w:type="dxa"/>
            <w:shd w:val="clear" w:color="auto" w:fill="auto"/>
            <w:tcMar>
              <w:top w:w="80" w:type="dxa"/>
              <w:left w:w="80" w:type="dxa"/>
              <w:bottom w:w="80" w:type="dxa"/>
              <w:right w:w="80" w:type="dxa"/>
            </w:tcMar>
            <w:hideMark/>
          </w:tcPr>
          <w:p w14:paraId="123BF470" w14:textId="159D28CA" w:rsidR="000F6EB8" w:rsidRPr="00447A7E" w:rsidRDefault="00447A7E" w:rsidP="000F6EB8">
            <w:pPr>
              <w:spacing w:after="0"/>
              <w:rPr>
                <w:rFonts w:cstheme="minorHAnsi"/>
                <w:lang w:val="fr-FR"/>
              </w:rPr>
            </w:pPr>
            <w:r w:rsidRPr="00447A7E">
              <w:rPr>
                <w:rFonts w:cstheme="minorHAnsi"/>
                <w:b/>
                <w:bCs/>
                <w:lang w:val="fr-FR"/>
              </w:rPr>
              <w:t>Livrable</w:t>
            </w:r>
            <w:r w:rsidR="000F6EB8" w:rsidRPr="00447A7E">
              <w:rPr>
                <w:rFonts w:cstheme="minorHAnsi"/>
                <w:b/>
                <w:bCs/>
                <w:lang w:val="fr-FR"/>
              </w:rPr>
              <w:t xml:space="preserve"> </w:t>
            </w:r>
            <w:r w:rsidR="00B31812" w:rsidRPr="00447A7E">
              <w:rPr>
                <w:rFonts w:cstheme="minorHAnsi"/>
                <w:b/>
                <w:bCs/>
                <w:lang w:val="fr-FR"/>
              </w:rPr>
              <w:t>3 :</w:t>
            </w:r>
            <w:r w:rsidR="000F6EB8" w:rsidRPr="00447A7E">
              <w:rPr>
                <w:rFonts w:cstheme="minorHAnsi"/>
                <w:b/>
                <w:bCs/>
                <w:lang w:val="fr-FR"/>
              </w:rPr>
              <w:t xml:space="preserve"> </w:t>
            </w:r>
            <w:r w:rsidRPr="00447A7E">
              <w:rPr>
                <w:rFonts w:cstheme="minorHAnsi"/>
                <w:lang w:val="fr-FR"/>
              </w:rPr>
              <w:t>Rapport final sur l'analyse documentaire, rapport final sur les recommandations relatives au cadre de résilience et de redressement des logements, et présentation des principales conclusions.</w:t>
            </w:r>
          </w:p>
        </w:tc>
        <w:tc>
          <w:tcPr>
            <w:tcW w:w="1296" w:type="dxa"/>
            <w:shd w:val="clear" w:color="auto" w:fill="auto"/>
          </w:tcPr>
          <w:p w14:paraId="211D1CCB" w14:textId="77777777" w:rsidR="000F6EB8" w:rsidRPr="00002477" w:rsidRDefault="000F6EB8" w:rsidP="000F6EB8">
            <w:pPr>
              <w:spacing w:after="0"/>
              <w:jc w:val="center"/>
              <w:rPr>
                <w:rFonts w:cstheme="minorHAnsi"/>
              </w:rPr>
            </w:pPr>
            <w:r w:rsidRPr="00002477">
              <w:rPr>
                <w:rFonts w:cstheme="minorHAnsi"/>
              </w:rPr>
              <w:t>20%</w:t>
            </w:r>
          </w:p>
        </w:tc>
      </w:tr>
    </w:tbl>
    <w:p w14:paraId="3CB07507" w14:textId="77777777" w:rsidR="00452058" w:rsidRPr="00403AB1" w:rsidRDefault="00452058" w:rsidP="00452058">
      <w:pPr>
        <w:spacing w:afterLines="120" w:after="288" w:line="240" w:lineRule="auto"/>
        <w:jc w:val="both"/>
        <w:rPr>
          <w:rFonts w:cstheme="minorHAnsi"/>
          <w:lang w:val="en-US"/>
        </w:rPr>
      </w:pPr>
    </w:p>
    <w:p w14:paraId="5D9A0A70" w14:textId="5E1E7971" w:rsidR="009955FE" w:rsidRPr="00F55D00" w:rsidRDefault="009955FE" w:rsidP="009955FE">
      <w:pPr>
        <w:rPr>
          <w:lang w:val="fr-FR"/>
        </w:rPr>
      </w:pPr>
      <w:bookmarkStart w:id="0" w:name="_GoBack"/>
      <w:bookmarkEnd w:id="0"/>
    </w:p>
    <w:sectPr w:rsidR="009955FE" w:rsidRPr="00F55D0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BEDA6" w14:textId="77777777" w:rsidR="00A31142" w:rsidRDefault="00A31142" w:rsidP="00D00DE0">
      <w:pPr>
        <w:spacing w:after="0" w:line="240" w:lineRule="auto"/>
      </w:pPr>
      <w:r>
        <w:separator/>
      </w:r>
    </w:p>
  </w:endnote>
  <w:endnote w:type="continuationSeparator" w:id="0">
    <w:p w14:paraId="67AF808C" w14:textId="77777777" w:rsidR="00A31142" w:rsidRDefault="00A31142" w:rsidP="00D0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5811A" w14:textId="77777777" w:rsidR="00714C83" w:rsidRDefault="00714C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262573"/>
      <w:docPartObj>
        <w:docPartGallery w:val="Page Numbers (Bottom of Page)"/>
        <w:docPartUnique/>
      </w:docPartObj>
    </w:sdtPr>
    <w:sdtEndPr>
      <w:rPr>
        <w:noProof/>
      </w:rPr>
    </w:sdtEndPr>
    <w:sdtContent>
      <w:p w14:paraId="381FEC4C" w14:textId="6CFD2547" w:rsidR="00D55DF2" w:rsidRDefault="00D55DF2" w:rsidP="00D55DF2">
        <w:pPr>
          <w:pStyle w:val="Footer"/>
          <w:jc w:val="center"/>
        </w:pPr>
        <w:r>
          <w:t xml:space="preserve">[ </w:t>
        </w:r>
        <w:r>
          <w:fldChar w:fldCharType="begin"/>
        </w:r>
        <w:r>
          <w:instrText xml:space="preserve"> PAGE   \* MERGEFORMAT </w:instrText>
        </w:r>
        <w:r>
          <w:fldChar w:fldCharType="separate"/>
        </w:r>
        <w:r w:rsidR="002B61FD">
          <w:rPr>
            <w:noProof/>
          </w:rPr>
          <w:t>7</w:t>
        </w:r>
        <w:r>
          <w:rPr>
            <w:noProof/>
          </w:rPr>
          <w:fldChar w:fldCharType="end"/>
        </w:r>
        <w:r>
          <w:rPr>
            <w:noProof/>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C965D" w14:textId="77777777" w:rsidR="00714C83" w:rsidRDefault="00714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24A75" w14:textId="77777777" w:rsidR="00A31142" w:rsidRDefault="00A31142" w:rsidP="00D00DE0">
      <w:pPr>
        <w:spacing w:after="0" w:line="240" w:lineRule="auto"/>
      </w:pPr>
      <w:r>
        <w:separator/>
      </w:r>
    </w:p>
  </w:footnote>
  <w:footnote w:type="continuationSeparator" w:id="0">
    <w:p w14:paraId="6996E22F" w14:textId="77777777" w:rsidR="00A31142" w:rsidRDefault="00A31142" w:rsidP="00D00DE0">
      <w:pPr>
        <w:spacing w:after="0" w:line="240" w:lineRule="auto"/>
      </w:pPr>
      <w:r>
        <w:continuationSeparator/>
      </w:r>
    </w:p>
  </w:footnote>
  <w:footnote w:id="1">
    <w:p w14:paraId="024DE2FC" w14:textId="68AEE3C0" w:rsidR="002122C0" w:rsidRPr="009C009C" w:rsidRDefault="002122C0" w:rsidP="009C009C">
      <w:pPr>
        <w:pStyle w:val="FootnoteText"/>
        <w:spacing w:after="60"/>
        <w:jc w:val="both"/>
        <w:rPr>
          <w:rFonts w:asciiTheme="majorHAnsi" w:hAnsiTheme="majorHAnsi" w:cstheme="majorHAnsi"/>
          <w:sz w:val="16"/>
          <w:szCs w:val="16"/>
        </w:rPr>
      </w:pPr>
      <w:r>
        <w:rPr>
          <w:rStyle w:val="FootnoteReference"/>
        </w:rPr>
        <w:footnoteRef/>
      </w:r>
      <w:r>
        <w:t xml:space="preserve"> </w:t>
      </w:r>
      <w:r w:rsidRPr="009C009C">
        <w:rPr>
          <w:rFonts w:asciiTheme="majorHAnsi" w:hAnsiTheme="majorHAnsi" w:cstheme="majorHAnsi"/>
          <w:sz w:val="16"/>
          <w:szCs w:val="16"/>
        </w:rPr>
        <w:t xml:space="preserve">International Monetary Fund, 2020, </w:t>
      </w:r>
      <w:proofErr w:type="gramStart"/>
      <w:r w:rsidRPr="009C009C">
        <w:rPr>
          <w:rFonts w:asciiTheme="majorHAnsi" w:hAnsiTheme="majorHAnsi" w:cstheme="majorHAnsi"/>
          <w:i/>
          <w:iCs/>
          <w:sz w:val="16"/>
          <w:szCs w:val="16"/>
        </w:rPr>
        <w:t>Haiti :</w:t>
      </w:r>
      <w:proofErr w:type="gramEnd"/>
      <w:r w:rsidRPr="009C009C">
        <w:rPr>
          <w:rFonts w:asciiTheme="majorHAnsi" w:hAnsiTheme="majorHAnsi" w:cstheme="majorHAnsi"/>
          <w:i/>
          <w:iCs/>
          <w:sz w:val="16"/>
          <w:szCs w:val="16"/>
        </w:rPr>
        <w:t xml:space="preserve"> 2019 Article IV Consultation-Press Release; Staff Report; and Statement by the Executive Director for Haiti.</w:t>
      </w:r>
      <w:r w:rsidRPr="009C009C">
        <w:rPr>
          <w:rFonts w:asciiTheme="majorHAnsi" w:hAnsiTheme="majorHAnsi" w:cstheme="majorHAnsi"/>
          <w:sz w:val="16"/>
          <w:szCs w:val="16"/>
        </w:rPr>
        <w:t xml:space="preserve"> https://www.imf.org/en/Publications/CR/Issues/2020/04/20/Haiti-2019-Article-IV-Consultation-Staff-Report-and-Statement-by-the-Executive-Director-for-49351.</w:t>
      </w:r>
    </w:p>
  </w:footnote>
  <w:footnote w:id="2">
    <w:p w14:paraId="51E42A84" w14:textId="634EF148" w:rsidR="002122C0" w:rsidRPr="009C009C" w:rsidRDefault="002122C0">
      <w:pPr>
        <w:pStyle w:val="FootnoteText"/>
        <w:rPr>
          <w:rFonts w:asciiTheme="majorHAnsi" w:hAnsiTheme="majorHAnsi" w:cstheme="majorHAnsi"/>
          <w:sz w:val="16"/>
          <w:szCs w:val="16"/>
          <w:lang w:val="en-US"/>
        </w:rPr>
      </w:pPr>
      <w:r w:rsidRPr="009C009C">
        <w:rPr>
          <w:rStyle w:val="FootnoteReference"/>
          <w:rFonts w:asciiTheme="majorHAnsi" w:hAnsiTheme="majorHAnsi" w:cstheme="majorHAnsi"/>
          <w:sz w:val="16"/>
          <w:szCs w:val="16"/>
        </w:rPr>
        <w:footnoteRef/>
      </w:r>
      <w:r w:rsidRPr="009C009C">
        <w:rPr>
          <w:rFonts w:asciiTheme="majorHAnsi" w:hAnsiTheme="majorHAnsi" w:cstheme="majorHAnsi"/>
          <w:sz w:val="16"/>
          <w:szCs w:val="16"/>
        </w:rPr>
        <w:t xml:space="preserve"> International Monetary Fund, 2020, </w:t>
      </w:r>
      <w:proofErr w:type="gramStart"/>
      <w:r w:rsidRPr="009C009C">
        <w:rPr>
          <w:rFonts w:asciiTheme="majorHAnsi" w:hAnsiTheme="majorHAnsi" w:cstheme="majorHAnsi"/>
          <w:i/>
          <w:iCs/>
          <w:sz w:val="16"/>
          <w:szCs w:val="16"/>
        </w:rPr>
        <w:t>Haiti :</w:t>
      </w:r>
      <w:proofErr w:type="gramEnd"/>
      <w:r w:rsidRPr="009C009C">
        <w:rPr>
          <w:rFonts w:asciiTheme="majorHAnsi" w:hAnsiTheme="majorHAnsi" w:cstheme="majorHAnsi"/>
          <w:i/>
          <w:iCs/>
          <w:sz w:val="16"/>
          <w:szCs w:val="16"/>
        </w:rPr>
        <w:t xml:space="preserve"> 2019 Article IV Consultation-Press Release; Staff Report; and Statement by the Executive Director for Haiti.</w:t>
      </w:r>
      <w:r w:rsidRPr="009C009C">
        <w:rPr>
          <w:rFonts w:asciiTheme="majorHAnsi" w:hAnsiTheme="majorHAnsi" w:cstheme="majorHAnsi"/>
          <w:sz w:val="16"/>
          <w:szCs w:val="16"/>
        </w:rPr>
        <w:t xml:space="preserve"> https://www.imf.org/en/Publications/CR/Issues/2020/04/20/Haiti-2019-Article-IV-Consultation-Staff-Report-and-Statement-by-the-Executive-Director-for-49351.</w:t>
      </w:r>
    </w:p>
  </w:footnote>
  <w:footnote w:id="3">
    <w:p w14:paraId="4F5F173B" w14:textId="695DB2C9" w:rsidR="002122C0" w:rsidRPr="009C009C" w:rsidRDefault="002122C0">
      <w:pPr>
        <w:pStyle w:val="FootnoteText"/>
        <w:rPr>
          <w:rFonts w:asciiTheme="majorHAnsi" w:hAnsiTheme="majorHAnsi" w:cstheme="majorHAnsi"/>
          <w:sz w:val="16"/>
          <w:szCs w:val="16"/>
          <w:lang w:val="en-US"/>
        </w:rPr>
      </w:pPr>
      <w:r w:rsidRPr="009C009C">
        <w:rPr>
          <w:rStyle w:val="FootnoteReference"/>
          <w:rFonts w:asciiTheme="majorHAnsi" w:hAnsiTheme="majorHAnsi" w:cstheme="majorHAnsi"/>
          <w:sz w:val="16"/>
          <w:szCs w:val="16"/>
        </w:rPr>
        <w:footnoteRef/>
      </w:r>
      <w:r w:rsidRPr="009C009C">
        <w:rPr>
          <w:rFonts w:asciiTheme="majorHAnsi" w:hAnsiTheme="majorHAnsi" w:cstheme="majorHAnsi"/>
          <w:sz w:val="16"/>
          <w:szCs w:val="16"/>
        </w:rPr>
        <w:t xml:space="preserve"> United Nations Development Programme, 2020, </w:t>
      </w:r>
      <w:r w:rsidRPr="009C009C">
        <w:rPr>
          <w:rFonts w:asciiTheme="majorHAnsi" w:hAnsiTheme="majorHAnsi" w:cstheme="majorHAnsi"/>
          <w:i/>
          <w:iCs/>
          <w:sz w:val="16"/>
          <w:szCs w:val="16"/>
        </w:rPr>
        <w:t>Human Development Report 2020, The next frontier: Human development and the Anthropocene</w:t>
      </w:r>
      <w:r w:rsidRPr="009C009C">
        <w:rPr>
          <w:rFonts w:asciiTheme="majorHAnsi" w:hAnsiTheme="majorHAnsi" w:cstheme="majorHAnsi"/>
          <w:sz w:val="16"/>
          <w:szCs w:val="16"/>
        </w:rPr>
        <w:t>. Haiti briefing note. http://hdr.undp.org/en/countries/profiles/HTI#.</w:t>
      </w:r>
    </w:p>
  </w:footnote>
  <w:footnote w:id="4">
    <w:p w14:paraId="34A03366" w14:textId="6F37C209" w:rsidR="002122C0" w:rsidRPr="009C009C" w:rsidRDefault="002122C0" w:rsidP="009C009C">
      <w:pPr>
        <w:pStyle w:val="FootnoteText"/>
        <w:spacing w:after="60"/>
        <w:jc w:val="both"/>
        <w:rPr>
          <w:rFonts w:asciiTheme="majorHAnsi" w:hAnsiTheme="majorHAnsi" w:cstheme="majorHAnsi"/>
          <w:sz w:val="16"/>
          <w:szCs w:val="16"/>
        </w:rPr>
      </w:pPr>
      <w:r w:rsidRPr="009C009C">
        <w:rPr>
          <w:rStyle w:val="FootnoteReference"/>
          <w:rFonts w:asciiTheme="majorHAnsi" w:hAnsiTheme="majorHAnsi" w:cstheme="majorHAnsi"/>
          <w:sz w:val="16"/>
          <w:szCs w:val="16"/>
        </w:rPr>
        <w:footnoteRef/>
      </w:r>
      <w:r w:rsidRPr="009C009C">
        <w:rPr>
          <w:rFonts w:asciiTheme="majorHAnsi" w:hAnsiTheme="majorHAnsi" w:cstheme="majorHAnsi"/>
          <w:sz w:val="16"/>
          <w:szCs w:val="16"/>
        </w:rPr>
        <w:t xml:space="preserve"> Raju Jan Singh and Mary Barton-Dock, 2015, Haiti: Toward a New Narrative. Systematic Country Diagnostic. Washington, DC: World Bank. http://hdl.handle.net/10986/22580.</w:t>
      </w:r>
    </w:p>
  </w:footnote>
  <w:footnote w:id="5">
    <w:p w14:paraId="694A6B7F" w14:textId="3CCFD2C9" w:rsidR="002122C0" w:rsidRPr="009C009C" w:rsidRDefault="002122C0">
      <w:pPr>
        <w:pStyle w:val="FootnoteText"/>
        <w:rPr>
          <w:rFonts w:asciiTheme="majorHAnsi" w:hAnsiTheme="majorHAnsi" w:cstheme="majorHAnsi"/>
          <w:sz w:val="16"/>
          <w:szCs w:val="16"/>
          <w:lang w:val="en-US"/>
        </w:rPr>
      </w:pPr>
      <w:r w:rsidRPr="009C009C">
        <w:rPr>
          <w:rStyle w:val="FootnoteReference"/>
          <w:rFonts w:asciiTheme="majorHAnsi" w:hAnsiTheme="majorHAnsi" w:cstheme="majorHAnsi"/>
          <w:sz w:val="16"/>
          <w:szCs w:val="16"/>
        </w:rPr>
        <w:footnoteRef/>
      </w:r>
      <w:r w:rsidRPr="009C009C">
        <w:rPr>
          <w:rFonts w:asciiTheme="majorHAnsi" w:hAnsiTheme="majorHAnsi" w:cstheme="majorHAnsi"/>
          <w:sz w:val="16"/>
          <w:szCs w:val="16"/>
        </w:rPr>
        <w:t xml:space="preserve"> World Bank, 2017, Strengthening DRM and Climate Resilience Project (P165870), Project Appraisal Document.</w:t>
      </w:r>
    </w:p>
  </w:footnote>
  <w:footnote w:id="6">
    <w:p w14:paraId="010B3FC3" w14:textId="4D82CA14" w:rsidR="002122C0" w:rsidRPr="009C009C" w:rsidRDefault="002122C0" w:rsidP="009C009C">
      <w:pPr>
        <w:pStyle w:val="FootnoteText"/>
        <w:spacing w:after="60"/>
        <w:jc w:val="both"/>
        <w:rPr>
          <w:rFonts w:asciiTheme="majorHAnsi" w:hAnsiTheme="majorHAnsi" w:cstheme="majorHAnsi"/>
          <w:sz w:val="16"/>
          <w:szCs w:val="16"/>
        </w:rPr>
      </w:pPr>
      <w:r>
        <w:rPr>
          <w:rStyle w:val="FootnoteReference"/>
        </w:rPr>
        <w:footnoteRef/>
      </w:r>
      <w:r>
        <w:t xml:space="preserve"> </w:t>
      </w:r>
      <w:r w:rsidRPr="009C009C">
        <w:rPr>
          <w:rFonts w:asciiTheme="majorHAnsi" w:hAnsiTheme="majorHAnsi" w:cstheme="majorHAnsi"/>
          <w:sz w:val="16"/>
          <w:szCs w:val="16"/>
        </w:rPr>
        <w:t xml:space="preserve">World Bank, 2017, Strengthening DRM and Climate Resilience Project (P165870), Project Appraisal Document. </w:t>
      </w:r>
    </w:p>
  </w:footnote>
  <w:footnote w:id="7">
    <w:p w14:paraId="4204446E" w14:textId="409AE531" w:rsidR="002122C0" w:rsidRPr="009C009C" w:rsidRDefault="002122C0" w:rsidP="009C009C">
      <w:pPr>
        <w:pStyle w:val="FootnoteText"/>
        <w:spacing w:after="60"/>
        <w:jc w:val="both"/>
        <w:rPr>
          <w:rFonts w:asciiTheme="majorHAnsi" w:hAnsiTheme="majorHAnsi" w:cstheme="majorHAnsi"/>
          <w:sz w:val="16"/>
          <w:szCs w:val="16"/>
        </w:rPr>
      </w:pPr>
      <w:r w:rsidRPr="009C009C">
        <w:rPr>
          <w:rStyle w:val="FootnoteReference"/>
          <w:rFonts w:asciiTheme="majorHAnsi" w:hAnsiTheme="majorHAnsi" w:cstheme="majorHAnsi"/>
          <w:sz w:val="16"/>
          <w:szCs w:val="16"/>
        </w:rPr>
        <w:footnoteRef/>
      </w:r>
      <w:r w:rsidRPr="009C009C">
        <w:rPr>
          <w:rFonts w:asciiTheme="majorHAnsi" w:hAnsiTheme="majorHAnsi" w:cstheme="majorHAnsi"/>
          <w:sz w:val="16"/>
          <w:szCs w:val="16"/>
        </w:rPr>
        <w:t xml:space="preserve"> </w:t>
      </w:r>
      <w:proofErr w:type="spellStart"/>
      <w:r w:rsidRPr="009C009C">
        <w:rPr>
          <w:rFonts w:asciiTheme="majorHAnsi" w:hAnsiTheme="majorHAnsi" w:cstheme="majorHAnsi"/>
          <w:sz w:val="16"/>
          <w:szCs w:val="16"/>
        </w:rPr>
        <w:t>Germanwatch</w:t>
      </w:r>
      <w:proofErr w:type="spellEnd"/>
      <w:r w:rsidRPr="009C009C">
        <w:rPr>
          <w:rFonts w:asciiTheme="majorHAnsi" w:hAnsiTheme="majorHAnsi" w:cstheme="majorHAnsi"/>
          <w:sz w:val="16"/>
          <w:szCs w:val="16"/>
        </w:rPr>
        <w:t>, 2021, Global Climate Risk Index. https://www.germanwatch.org/en/cri.</w:t>
      </w:r>
    </w:p>
  </w:footnote>
  <w:footnote w:id="8">
    <w:p w14:paraId="35E450DC" w14:textId="77777777" w:rsidR="00C634D2" w:rsidRPr="009C009C" w:rsidRDefault="00C634D2" w:rsidP="00C634D2">
      <w:pPr>
        <w:pStyle w:val="FootnoteText"/>
        <w:jc w:val="both"/>
        <w:rPr>
          <w:rFonts w:asciiTheme="majorHAnsi" w:hAnsiTheme="majorHAnsi" w:cstheme="majorHAnsi"/>
          <w:sz w:val="16"/>
          <w:szCs w:val="16"/>
          <w:lang w:val="fr-FR"/>
        </w:rPr>
      </w:pPr>
      <w:r w:rsidRPr="009C009C">
        <w:rPr>
          <w:rStyle w:val="FootnoteReference"/>
          <w:rFonts w:asciiTheme="majorHAnsi" w:hAnsiTheme="majorHAnsi" w:cstheme="majorHAnsi"/>
          <w:sz w:val="16"/>
          <w:szCs w:val="16"/>
        </w:rPr>
        <w:footnoteRef/>
      </w:r>
      <w:r w:rsidRPr="009C009C">
        <w:rPr>
          <w:rFonts w:asciiTheme="majorHAnsi" w:hAnsiTheme="majorHAnsi" w:cstheme="majorHAnsi"/>
          <w:sz w:val="16"/>
          <w:szCs w:val="16"/>
          <w:lang w:val="fr-FR"/>
        </w:rPr>
        <w:t xml:space="preserve"> </w:t>
      </w:r>
      <w:proofErr w:type="spellStart"/>
      <w:r w:rsidRPr="009C009C">
        <w:rPr>
          <w:rFonts w:asciiTheme="majorHAnsi" w:hAnsiTheme="majorHAnsi" w:cstheme="majorHAnsi"/>
          <w:sz w:val="16"/>
          <w:szCs w:val="16"/>
          <w:lang w:val="fr-FR"/>
        </w:rPr>
        <w:t>Government</w:t>
      </w:r>
      <w:proofErr w:type="spellEnd"/>
      <w:r w:rsidRPr="009C009C">
        <w:rPr>
          <w:rFonts w:asciiTheme="majorHAnsi" w:hAnsiTheme="majorHAnsi" w:cstheme="majorHAnsi"/>
          <w:sz w:val="16"/>
          <w:szCs w:val="16"/>
          <w:lang w:val="fr-FR"/>
        </w:rPr>
        <w:t xml:space="preserve"> of </w:t>
      </w:r>
      <w:proofErr w:type="spellStart"/>
      <w:r w:rsidRPr="009C009C">
        <w:rPr>
          <w:rFonts w:asciiTheme="majorHAnsi" w:hAnsiTheme="majorHAnsi" w:cstheme="majorHAnsi"/>
          <w:sz w:val="16"/>
          <w:szCs w:val="16"/>
          <w:lang w:val="fr-FR"/>
        </w:rPr>
        <w:t>Haiti</w:t>
      </w:r>
      <w:proofErr w:type="spellEnd"/>
      <w:r w:rsidRPr="009C009C">
        <w:rPr>
          <w:rFonts w:asciiTheme="majorHAnsi" w:hAnsiTheme="majorHAnsi" w:cstheme="majorHAnsi"/>
          <w:sz w:val="16"/>
          <w:szCs w:val="16"/>
          <w:lang w:val="fr-FR"/>
        </w:rPr>
        <w:t>, 2013, « Politique nationale du logement et de l’habitat (PNLH) », http://caribbeanelections.com/eDocs/strategy/ht_strategy/ht_Housing%20_Habitat_Policy_2013.pdf.</w:t>
      </w:r>
    </w:p>
    <w:p w14:paraId="48F910FE" w14:textId="12FECBCF" w:rsidR="00C634D2" w:rsidRPr="009C009C" w:rsidRDefault="00C634D2">
      <w:pPr>
        <w:pStyle w:val="FootnoteText"/>
        <w:rPr>
          <w:rFonts w:asciiTheme="majorHAnsi" w:hAnsiTheme="majorHAnsi" w:cstheme="majorHAnsi"/>
          <w:sz w:val="16"/>
          <w:szCs w:val="16"/>
          <w:lang w:val="fr-FR"/>
        </w:rPr>
      </w:pPr>
    </w:p>
  </w:footnote>
  <w:footnote w:id="9">
    <w:p w14:paraId="0504B155" w14:textId="6DB02BCA" w:rsidR="00C634D2" w:rsidRPr="009C009C" w:rsidRDefault="00C634D2" w:rsidP="009C009C">
      <w:pPr>
        <w:pStyle w:val="FootnoteText"/>
        <w:jc w:val="both"/>
        <w:rPr>
          <w:rFonts w:asciiTheme="majorHAnsi" w:hAnsiTheme="majorHAnsi" w:cstheme="majorHAnsi"/>
          <w:sz w:val="16"/>
          <w:szCs w:val="16"/>
          <w:lang w:val="fr-FR"/>
        </w:rPr>
      </w:pPr>
      <w:r>
        <w:rPr>
          <w:rStyle w:val="FootnoteReference"/>
        </w:rPr>
        <w:footnoteRef/>
      </w:r>
      <w:r w:rsidRPr="00C634D2">
        <w:rPr>
          <w:lang w:val="fr-FR"/>
        </w:rPr>
        <w:t xml:space="preserve"> </w:t>
      </w:r>
      <w:r w:rsidRPr="009C009C">
        <w:rPr>
          <w:rFonts w:asciiTheme="majorHAnsi" w:hAnsiTheme="majorHAnsi" w:cstheme="majorHAnsi"/>
          <w:sz w:val="16"/>
          <w:szCs w:val="16"/>
          <w:lang w:val="fr-FR"/>
        </w:rPr>
        <w:t>UCLBP, 2018, “</w:t>
      </w:r>
      <w:proofErr w:type="spellStart"/>
      <w:r w:rsidRPr="009C009C">
        <w:rPr>
          <w:rFonts w:asciiTheme="majorHAnsi" w:hAnsiTheme="majorHAnsi" w:cstheme="majorHAnsi"/>
          <w:sz w:val="16"/>
          <w:szCs w:val="16"/>
          <w:lang w:val="fr-FR"/>
        </w:rPr>
        <w:t>Shelter</w:t>
      </w:r>
      <w:proofErr w:type="spellEnd"/>
      <w:r w:rsidRPr="009C009C">
        <w:rPr>
          <w:rFonts w:asciiTheme="majorHAnsi" w:hAnsiTheme="majorHAnsi" w:cstheme="majorHAnsi"/>
          <w:sz w:val="16"/>
          <w:szCs w:val="16"/>
          <w:lang w:val="fr-FR"/>
        </w:rPr>
        <w:t xml:space="preserve"> </w:t>
      </w:r>
      <w:proofErr w:type="spellStart"/>
      <w:r w:rsidRPr="009C009C">
        <w:rPr>
          <w:rFonts w:asciiTheme="majorHAnsi" w:hAnsiTheme="majorHAnsi" w:cstheme="majorHAnsi"/>
          <w:sz w:val="16"/>
          <w:szCs w:val="16"/>
          <w:lang w:val="fr-FR"/>
        </w:rPr>
        <w:t>Toolkit</w:t>
      </w:r>
      <w:proofErr w:type="spellEnd"/>
      <w:r w:rsidRPr="009C009C">
        <w:rPr>
          <w:rFonts w:asciiTheme="majorHAnsi" w:hAnsiTheme="majorHAnsi" w:cstheme="majorHAnsi"/>
          <w:sz w:val="16"/>
          <w:szCs w:val="16"/>
          <w:lang w:val="fr-FR"/>
        </w:rPr>
        <w:t>/</w:t>
      </w:r>
      <w:proofErr w:type="spellStart"/>
      <w:r w:rsidRPr="009C009C">
        <w:rPr>
          <w:rFonts w:asciiTheme="majorHAnsi" w:hAnsiTheme="majorHAnsi" w:cstheme="majorHAnsi"/>
          <w:sz w:val="16"/>
          <w:szCs w:val="16"/>
          <w:lang w:val="fr-FR"/>
        </w:rPr>
        <w:t>Shelter</w:t>
      </w:r>
      <w:proofErr w:type="spellEnd"/>
      <w:r w:rsidRPr="009C009C">
        <w:rPr>
          <w:rFonts w:asciiTheme="majorHAnsi" w:hAnsiTheme="majorHAnsi" w:cstheme="majorHAnsi"/>
          <w:sz w:val="16"/>
          <w:szCs w:val="16"/>
          <w:lang w:val="fr-FR"/>
        </w:rPr>
        <w:t xml:space="preserve"> </w:t>
      </w:r>
      <w:proofErr w:type="spellStart"/>
      <w:r w:rsidRPr="009C009C">
        <w:rPr>
          <w:rFonts w:asciiTheme="majorHAnsi" w:hAnsiTheme="majorHAnsi" w:cstheme="majorHAnsi"/>
          <w:sz w:val="16"/>
          <w:szCs w:val="16"/>
          <w:lang w:val="fr-FR"/>
        </w:rPr>
        <w:t>processes</w:t>
      </w:r>
      <w:proofErr w:type="spellEnd"/>
      <w:r w:rsidRPr="009C009C">
        <w:rPr>
          <w:rFonts w:asciiTheme="majorHAnsi" w:hAnsiTheme="majorHAnsi" w:cstheme="majorHAnsi"/>
          <w:sz w:val="16"/>
          <w:szCs w:val="16"/>
          <w:lang w:val="fr-FR"/>
        </w:rPr>
        <w:t xml:space="preserve"> in the </w:t>
      </w:r>
      <w:proofErr w:type="spellStart"/>
      <w:r w:rsidRPr="009C009C">
        <w:rPr>
          <w:rFonts w:asciiTheme="majorHAnsi" w:hAnsiTheme="majorHAnsi" w:cstheme="majorHAnsi"/>
          <w:sz w:val="16"/>
          <w:szCs w:val="16"/>
          <w:lang w:val="fr-FR"/>
        </w:rPr>
        <w:t>humanitarian</w:t>
      </w:r>
      <w:proofErr w:type="spellEnd"/>
      <w:r w:rsidRPr="009C009C">
        <w:rPr>
          <w:rFonts w:asciiTheme="majorHAnsi" w:hAnsiTheme="majorHAnsi" w:cstheme="majorHAnsi"/>
          <w:sz w:val="16"/>
          <w:szCs w:val="16"/>
          <w:lang w:val="fr-FR"/>
        </w:rPr>
        <w:t xml:space="preserve"> </w:t>
      </w:r>
      <w:proofErr w:type="spellStart"/>
      <w:r w:rsidRPr="009C009C">
        <w:rPr>
          <w:rFonts w:asciiTheme="majorHAnsi" w:hAnsiTheme="majorHAnsi" w:cstheme="majorHAnsi"/>
          <w:sz w:val="16"/>
          <w:szCs w:val="16"/>
          <w:lang w:val="fr-FR"/>
        </w:rPr>
        <w:t>context</w:t>
      </w:r>
      <w:proofErr w:type="spellEnd"/>
      <w:r w:rsidRPr="009C009C">
        <w:rPr>
          <w:rFonts w:asciiTheme="majorHAnsi" w:hAnsiTheme="majorHAnsi" w:cstheme="majorHAnsi"/>
          <w:sz w:val="16"/>
          <w:szCs w:val="16"/>
          <w:lang w:val="fr-FR"/>
        </w:rPr>
        <w:t xml:space="preserve">, </w:t>
      </w:r>
      <w:proofErr w:type="spellStart"/>
      <w:r w:rsidRPr="009C009C">
        <w:rPr>
          <w:rFonts w:asciiTheme="majorHAnsi" w:hAnsiTheme="majorHAnsi" w:cstheme="majorHAnsi"/>
          <w:sz w:val="16"/>
          <w:szCs w:val="16"/>
          <w:lang w:val="fr-FR"/>
        </w:rPr>
        <w:t>based</w:t>
      </w:r>
      <w:proofErr w:type="spellEnd"/>
      <w:r w:rsidRPr="009C009C">
        <w:rPr>
          <w:rFonts w:asciiTheme="majorHAnsi" w:hAnsiTheme="majorHAnsi" w:cstheme="majorHAnsi"/>
          <w:sz w:val="16"/>
          <w:szCs w:val="16"/>
          <w:lang w:val="fr-FR"/>
        </w:rPr>
        <w:t xml:space="preserve"> on the </w:t>
      </w:r>
      <w:proofErr w:type="spellStart"/>
      <w:r w:rsidRPr="009C009C">
        <w:rPr>
          <w:rFonts w:asciiTheme="majorHAnsi" w:hAnsiTheme="majorHAnsi" w:cstheme="majorHAnsi"/>
          <w:sz w:val="16"/>
          <w:szCs w:val="16"/>
          <w:lang w:val="fr-FR"/>
        </w:rPr>
        <w:t>Build</w:t>
      </w:r>
      <w:proofErr w:type="spellEnd"/>
      <w:r w:rsidRPr="009C009C">
        <w:rPr>
          <w:rFonts w:asciiTheme="majorHAnsi" w:hAnsiTheme="majorHAnsi" w:cstheme="majorHAnsi"/>
          <w:sz w:val="16"/>
          <w:szCs w:val="16"/>
          <w:lang w:val="fr-FR"/>
        </w:rPr>
        <w:t xml:space="preserve"> Back </w:t>
      </w:r>
      <w:proofErr w:type="spellStart"/>
      <w:r w:rsidRPr="009C009C">
        <w:rPr>
          <w:rFonts w:asciiTheme="majorHAnsi" w:hAnsiTheme="majorHAnsi" w:cstheme="majorHAnsi"/>
          <w:sz w:val="16"/>
          <w:szCs w:val="16"/>
          <w:lang w:val="fr-FR"/>
        </w:rPr>
        <w:t>Safer</w:t>
      </w:r>
      <w:proofErr w:type="spellEnd"/>
      <w:r w:rsidRPr="009C009C">
        <w:rPr>
          <w:rFonts w:asciiTheme="majorHAnsi" w:hAnsiTheme="majorHAnsi" w:cstheme="majorHAnsi"/>
          <w:sz w:val="16"/>
          <w:szCs w:val="16"/>
          <w:lang w:val="fr-FR"/>
        </w:rPr>
        <w:t xml:space="preserve"> </w:t>
      </w:r>
      <w:proofErr w:type="spellStart"/>
      <w:r w:rsidRPr="009C009C">
        <w:rPr>
          <w:rFonts w:asciiTheme="majorHAnsi" w:hAnsiTheme="majorHAnsi" w:cstheme="majorHAnsi"/>
          <w:sz w:val="16"/>
          <w:szCs w:val="16"/>
          <w:lang w:val="fr-FR"/>
        </w:rPr>
        <w:t>approach</w:t>
      </w:r>
      <w:proofErr w:type="spellEnd"/>
      <w:r w:rsidRPr="009C009C">
        <w:rPr>
          <w:rFonts w:asciiTheme="majorHAnsi" w:hAnsiTheme="majorHAnsi" w:cstheme="majorHAnsi"/>
          <w:sz w:val="16"/>
          <w:szCs w:val="16"/>
          <w:lang w:val="fr-FR"/>
        </w:rPr>
        <w:t xml:space="preserve"> and the use of </w:t>
      </w:r>
      <w:proofErr w:type="spellStart"/>
      <w:r w:rsidRPr="009C009C">
        <w:rPr>
          <w:rFonts w:asciiTheme="majorHAnsi" w:hAnsiTheme="majorHAnsi" w:cstheme="majorHAnsi"/>
          <w:sz w:val="16"/>
          <w:szCs w:val="16"/>
          <w:lang w:val="fr-FR"/>
        </w:rPr>
        <w:t>expandible</w:t>
      </w:r>
      <w:proofErr w:type="spellEnd"/>
      <w:r w:rsidRPr="009C009C">
        <w:rPr>
          <w:rFonts w:asciiTheme="majorHAnsi" w:hAnsiTheme="majorHAnsi" w:cstheme="majorHAnsi"/>
          <w:sz w:val="16"/>
          <w:szCs w:val="16"/>
          <w:lang w:val="fr-FR"/>
        </w:rPr>
        <w:t xml:space="preserve"> </w:t>
      </w:r>
      <w:proofErr w:type="spellStart"/>
      <w:r w:rsidRPr="009C009C">
        <w:rPr>
          <w:rFonts w:asciiTheme="majorHAnsi" w:hAnsiTheme="majorHAnsi" w:cstheme="majorHAnsi"/>
          <w:sz w:val="16"/>
          <w:szCs w:val="16"/>
          <w:lang w:val="fr-FR"/>
        </w:rPr>
        <w:t>core</w:t>
      </w:r>
      <w:proofErr w:type="spellEnd"/>
      <w:r w:rsidRPr="009C009C">
        <w:rPr>
          <w:rFonts w:asciiTheme="majorHAnsi" w:hAnsiTheme="majorHAnsi" w:cstheme="majorHAnsi"/>
          <w:sz w:val="16"/>
          <w:szCs w:val="16"/>
          <w:lang w:val="fr-FR"/>
        </w:rPr>
        <w:t xml:space="preserve"> </w:t>
      </w:r>
      <w:proofErr w:type="spellStart"/>
      <w:r w:rsidRPr="009C009C">
        <w:rPr>
          <w:rFonts w:asciiTheme="majorHAnsi" w:hAnsiTheme="majorHAnsi" w:cstheme="majorHAnsi"/>
          <w:sz w:val="16"/>
          <w:szCs w:val="16"/>
          <w:lang w:val="fr-FR"/>
        </w:rPr>
        <w:t>houses</w:t>
      </w:r>
      <w:proofErr w:type="spellEnd"/>
      <w:r w:rsidRPr="009C009C">
        <w:rPr>
          <w:rFonts w:asciiTheme="majorHAnsi" w:hAnsiTheme="majorHAnsi" w:cstheme="majorHAnsi"/>
          <w:sz w:val="16"/>
          <w:szCs w:val="16"/>
          <w:lang w:val="fr-FR"/>
        </w:rPr>
        <w:t>” (</w:t>
      </w:r>
      <w:r w:rsidRPr="009C009C">
        <w:rPr>
          <w:rFonts w:asciiTheme="majorHAnsi" w:hAnsiTheme="majorHAnsi" w:cstheme="majorHAnsi"/>
          <w:i/>
          <w:iCs/>
          <w:sz w:val="16"/>
          <w:szCs w:val="16"/>
          <w:lang w:val="fr-FR"/>
        </w:rPr>
        <w:t>Processus Shelter dans le contexte humanitaire, centré sur l’approche en construction plus sûre (</w:t>
      </w:r>
      <w:proofErr w:type="spellStart"/>
      <w:r w:rsidRPr="009C009C">
        <w:rPr>
          <w:rFonts w:asciiTheme="majorHAnsi" w:hAnsiTheme="majorHAnsi" w:cstheme="majorHAnsi"/>
          <w:i/>
          <w:iCs/>
          <w:sz w:val="16"/>
          <w:szCs w:val="16"/>
          <w:lang w:val="fr-FR"/>
        </w:rPr>
        <w:t>Build</w:t>
      </w:r>
      <w:proofErr w:type="spellEnd"/>
      <w:r w:rsidRPr="009C009C">
        <w:rPr>
          <w:rFonts w:asciiTheme="majorHAnsi" w:hAnsiTheme="majorHAnsi" w:cstheme="majorHAnsi"/>
          <w:i/>
          <w:iCs/>
          <w:sz w:val="16"/>
          <w:szCs w:val="16"/>
          <w:lang w:val="fr-FR"/>
        </w:rPr>
        <w:t xml:space="preserve"> Back </w:t>
      </w:r>
      <w:proofErr w:type="spellStart"/>
      <w:r w:rsidRPr="009C009C">
        <w:rPr>
          <w:rFonts w:asciiTheme="majorHAnsi" w:hAnsiTheme="majorHAnsi" w:cstheme="majorHAnsi"/>
          <w:i/>
          <w:iCs/>
          <w:sz w:val="16"/>
          <w:szCs w:val="16"/>
          <w:lang w:val="fr-FR"/>
        </w:rPr>
        <w:t>Safer</w:t>
      </w:r>
      <w:proofErr w:type="spellEnd"/>
      <w:r w:rsidRPr="009C009C">
        <w:rPr>
          <w:rFonts w:asciiTheme="majorHAnsi" w:hAnsiTheme="majorHAnsi" w:cstheme="majorHAnsi"/>
          <w:i/>
          <w:iCs/>
          <w:sz w:val="16"/>
          <w:szCs w:val="16"/>
          <w:lang w:val="fr-FR"/>
        </w:rPr>
        <w:t>) et la mise en œuvre des maisons noyaux extensibles</w:t>
      </w:r>
      <w:r w:rsidRPr="009C009C">
        <w:rPr>
          <w:rFonts w:asciiTheme="majorHAnsi" w:hAnsiTheme="majorHAnsi" w:cstheme="majorHAnsi"/>
          <w:sz w:val="16"/>
          <w:szCs w:val="16"/>
          <w:lang w:val="fr-FR"/>
        </w:rPr>
        <w:t>). https://www.sheltercluster.org/2018-earthquake/documents/shelter-toolkit-processus-shelter-dans-le-contexte-humanitaire-centre-sur.</w:t>
      </w:r>
    </w:p>
  </w:footnote>
  <w:footnote w:id="10">
    <w:p w14:paraId="512A1984" w14:textId="77777777" w:rsidR="00C634D2" w:rsidRPr="009C009C" w:rsidRDefault="00C634D2" w:rsidP="00C634D2">
      <w:pPr>
        <w:pStyle w:val="FootnoteText"/>
        <w:rPr>
          <w:rFonts w:asciiTheme="majorHAnsi" w:hAnsiTheme="majorHAnsi" w:cstheme="majorHAnsi"/>
          <w:sz w:val="16"/>
          <w:szCs w:val="16"/>
          <w:lang w:val="fr-FR"/>
        </w:rPr>
      </w:pPr>
      <w:r w:rsidRPr="009C009C">
        <w:rPr>
          <w:rStyle w:val="FootnoteReference"/>
          <w:rFonts w:asciiTheme="majorHAnsi" w:hAnsiTheme="majorHAnsi" w:cstheme="majorHAnsi"/>
          <w:sz w:val="16"/>
          <w:szCs w:val="16"/>
        </w:rPr>
        <w:footnoteRef/>
      </w:r>
      <w:r w:rsidRPr="009C009C">
        <w:rPr>
          <w:rFonts w:asciiTheme="majorHAnsi" w:hAnsiTheme="majorHAnsi" w:cstheme="majorHAnsi"/>
          <w:sz w:val="16"/>
          <w:szCs w:val="16"/>
          <w:lang w:val="fr-FR"/>
        </w:rPr>
        <w:t xml:space="preserve"> </w:t>
      </w:r>
      <w:proofErr w:type="spellStart"/>
      <w:r w:rsidRPr="009C009C">
        <w:rPr>
          <w:rFonts w:asciiTheme="majorHAnsi" w:hAnsiTheme="majorHAnsi" w:cstheme="majorHAnsi"/>
          <w:sz w:val="16"/>
          <w:szCs w:val="16"/>
          <w:lang w:val="fr-FR"/>
        </w:rPr>
        <w:t>Government</w:t>
      </w:r>
      <w:proofErr w:type="spellEnd"/>
      <w:r w:rsidRPr="009C009C">
        <w:rPr>
          <w:rFonts w:asciiTheme="majorHAnsi" w:hAnsiTheme="majorHAnsi" w:cstheme="majorHAnsi"/>
          <w:sz w:val="16"/>
          <w:szCs w:val="16"/>
          <w:lang w:val="fr-FR"/>
        </w:rPr>
        <w:t xml:space="preserve"> of </w:t>
      </w:r>
      <w:proofErr w:type="spellStart"/>
      <w:r w:rsidRPr="009C009C">
        <w:rPr>
          <w:rFonts w:asciiTheme="majorHAnsi" w:hAnsiTheme="majorHAnsi" w:cstheme="majorHAnsi"/>
          <w:sz w:val="16"/>
          <w:szCs w:val="16"/>
          <w:lang w:val="fr-FR"/>
        </w:rPr>
        <w:t>Haiti</w:t>
      </w:r>
      <w:proofErr w:type="spellEnd"/>
      <w:r w:rsidRPr="009C009C">
        <w:rPr>
          <w:rFonts w:asciiTheme="majorHAnsi" w:hAnsiTheme="majorHAnsi" w:cstheme="majorHAnsi"/>
          <w:sz w:val="16"/>
          <w:szCs w:val="16"/>
          <w:lang w:val="fr-FR"/>
        </w:rPr>
        <w:t>, 2013, « Politique nationale du logement et de l’habitat (PNLH) », http://caribbeanelections.com/eDocs/strategy/ht_strategy/ht_Housing%20_Habitat_Policy_2013.pdf.</w:t>
      </w:r>
    </w:p>
    <w:p w14:paraId="4F05FC5D" w14:textId="5721C687" w:rsidR="00C634D2" w:rsidRPr="00C634D2" w:rsidRDefault="00C634D2">
      <w:pPr>
        <w:pStyle w:val="FootnoteText"/>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DB459" w14:textId="77777777" w:rsidR="00714C83" w:rsidRDefault="00714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54AD0" w14:textId="0F119783" w:rsidR="00714C83" w:rsidRDefault="00714C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4D9D9" w14:textId="77777777" w:rsidR="00714C83" w:rsidRDefault="00714C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24F64"/>
    <w:multiLevelType w:val="hybridMultilevel"/>
    <w:tmpl w:val="672EE4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1960370E"/>
    <w:multiLevelType w:val="multilevel"/>
    <w:tmpl w:val="AA482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AF53AB"/>
    <w:multiLevelType w:val="hybridMultilevel"/>
    <w:tmpl w:val="3EB64E14"/>
    <w:lvl w:ilvl="0" w:tplc="EC88DAB6">
      <w:numFmt w:val="bullet"/>
      <w:lvlText w:val=""/>
      <w:lvlJc w:val="left"/>
      <w:pPr>
        <w:ind w:left="633" w:hanging="361"/>
      </w:pPr>
      <w:rPr>
        <w:rFonts w:ascii="Symbol" w:eastAsia="Symbol" w:hAnsi="Symbol" w:cs="Symbol" w:hint="default"/>
        <w:w w:val="100"/>
        <w:sz w:val="20"/>
        <w:szCs w:val="20"/>
        <w:lang w:val="en-US" w:eastAsia="en-US" w:bidi="en-US"/>
      </w:rPr>
    </w:lvl>
    <w:lvl w:ilvl="1" w:tplc="33E683BE">
      <w:numFmt w:val="bullet"/>
      <w:lvlText w:val="•"/>
      <w:lvlJc w:val="left"/>
      <w:pPr>
        <w:ind w:left="1115" w:hanging="361"/>
      </w:pPr>
      <w:rPr>
        <w:rFonts w:hint="default"/>
        <w:lang w:val="en-US" w:eastAsia="en-US" w:bidi="en-US"/>
      </w:rPr>
    </w:lvl>
    <w:lvl w:ilvl="2" w:tplc="AC02774A">
      <w:numFmt w:val="bullet"/>
      <w:lvlText w:val="•"/>
      <w:lvlJc w:val="left"/>
      <w:pPr>
        <w:ind w:left="1590" w:hanging="361"/>
      </w:pPr>
      <w:rPr>
        <w:rFonts w:hint="default"/>
        <w:lang w:val="en-US" w:eastAsia="en-US" w:bidi="en-US"/>
      </w:rPr>
    </w:lvl>
    <w:lvl w:ilvl="3" w:tplc="ED7A0744">
      <w:numFmt w:val="bullet"/>
      <w:lvlText w:val="•"/>
      <w:lvlJc w:val="left"/>
      <w:pPr>
        <w:ind w:left="2065" w:hanging="361"/>
      </w:pPr>
      <w:rPr>
        <w:rFonts w:hint="default"/>
        <w:lang w:val="en-US" w:eastAsia="en-US" w:bidi="en-US"/>
      </w:rPr>
    </w:lvl>
    <w:lvl w:ilvl="4" w:tplc="1D489F34">
      <w:numFmt w:val="bullet"/>
      <w:lvlText w:val="•"/>
      <w:lvlJc w:val="left"/>
      <w:pPr>
        <w:ind w:left="2540" w:hanging="361"/>
      </w:pPr>
      <w:rPr>
        <w:rFonts w:hint="default"/>
        <w:lang w:val="en-US" w:eastAsia="en-US" w:bidi="en-US"/>
      </w:rPr>
    </w:lvl>
    <w:lvl w:ilvl="5" w:tplc="33A0FCB4">
      <w:numFmt w:val="bullet"/>
      <w:lvlText w:val="•"/>
      <w:lvlJc w:val="left"/>
      <w:pPr>
        <w:ind w:left="3016" w:hanging="361"/>
      </w:pPr>
      <w:rPr>
        <w:rFonts w:hint="default"/>
        <w:lang w:val="en-US" w:eastAsia="en-US" w:bidi="en-US"/>
      </w:rPr>
    </w:lvl>
    <w:lvl w:ilvl="6" w:tplc="329E364A">
      <w:numFmt w:val="bullet"/>
      <w:lvlText w:val="•"/>
      <w:lvlJc w:val="left"/>
      <w:pPr>
        <w:ind w:left="3491" w:hanging="361"/>
      </w:pPr>
      <w:rPr>
        <w:rFonts w:hint="default"/>
        <w:lang w:val="en-US" w:eastAsia="en-US" w:bidi="en-US"/>
      </w:rPr>
    </w:lvl>
    <w:lvl w:ilvl="7" w:tplc="222417BE">
      <w:numFmt w:val="bullet"/>
      <w:lvlText w:val="•"/>
      <w:lvlJc w:val="left"/>
      <w:pPr>
        <w:ind w:left="3966" w:hanging="361"/>
      </w:pPr>
      <w:rPr>
        <w:rFonts w:hint="default"/>
        <w:lang w:val="en-US" w:eastAsia="en-US" w:bidi="en-US"/>
      </w:rPr>
    </w:lvl>
    <w:lvl w:ilvl="8" w:tplc="2B604FE0">
      <w:numFmt w:val="bullet"/>
      <w:lvlText w:val="•"/>
      <w:lvlJc w:val="left"/>
      <w:pPr>
        <w:ind w:left="4441" w:hanging="361"/>
      </w:pPr>
      <w:rPr>
        <w:rFonts w:hint="default"/>
        <w:lang w:val="en-US" w:eastAsia="en-US" w:bidi="en-US"/>
      </w:rPr>
    </w:lvl>
  </w:abstractNum>
  <w:abstractNum w:abstractNumId="3">
    <w:nsid w:val="329A02C0"/>
    <w:multiLevelType w:val="hybridMultilevel"/>
    <w:tmpl w:val="672EE4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35652134"/>
    <w:multiLevelType w:val="hybridMultilevel"/>
    <w:tmpl w:val="4C945518"/>
    <w:lvl w:ilvl="0" w:tplc="DD06E8B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97BED"/>
    <w:multiLevelType w:val="hybridMultilevel"/>
    <w:tmpl w:val="672EE4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1533EF"/>
    <w:multiLevelType w:val="hybridMultilevel"/>
    <w:tmpl w:val="0C26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E1C45"/>
    <w:multiLevelType w:val="hybridMultilevel"/>
    <w:tmpl w:val="27EA96E4"/>
    <w:lvl w:ilvl="0" w:tplc="04090001">
      <w:start w:val="1"/>
      <w:numFmt w:val="bullet"/>
      <w:lvlText w:val=""/>
      <w:lvlJc w:val="left"/>
      <w:pPr>
        <w:ind w:left="720" w:hanging="360"/>
      </w:pPr>
      <w:rPr>
        <w:rFonts w:ascii="Symbol" w:hAnsi="Symbol" w:hint="default"/>
      </w:rPr>
    </w:lvl>
    <w:lvl w:ilvl="1" w:tplc="22E2AF4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11EA0"/>
    <w:multiLevelType w:val="hybridMultilevel"/>
    <w:tmpl w:val="188E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6C0766"/>
    <w:multiLevelType w:val="hybridMultilevel"/>
    <w:tmpl w:val="4732B04E"/>
    <w:lvl w:ilvl="0" w:tplc="387686A0">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E50855"/>
    <w:multiLevelType w:val="hybridMultilevel"/>
    <w:tmpl w:val="672EE4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7B315699"/>
    <w:multiLevelType w:val="hybridMultilevel"/>
    <w:tmpl w:val="672EE4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7DC11ADF"/>
    <w:multiLevelType w:val="hybridMultilevel"/>
    <w:tmpl w:val="672EE4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8"/>
  </w:num>
  <w:num w:numId="5">
    <w:abstractNumId w:val="9"/>
  </w:num>
  <w:num w:numId="6">
    <w:abstractNumId w:val="5"/>
  </w:num>
  <w:num w:numId="7">
    <w:abstractNumId w:val="6"/>
  </w:num>
  <w:num w:numId="8">
    <w:abstractNumId w:val="10"/>
  </w:num>
  <w:num w:numId="9">
    <w:abstractNumId w:val="3"/>
  </w:num>
  <w:num w:numId="10">
    <w:abstractNumId w:val="0"/>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C1"/>
    <w:rsid w:val="0000074C"/>
    <w:rsid w:val="00002477"/>
    <w:rsid w:val="00004078"/>
    <w:rsid w:val="00007CCB"/>
    <w:rsid w:val="00024458"/>
    <w:rsid w:val="00033123"/>
    <w:rsid w:val="00033A9A"/>
    <w:rsid w:val="00035B6D"/>
    <w:rsid w:val="000416D1"/>
    <w:rsid w:val="00042B51"/>
    <w:rsid w:val="00044498"/>
    <w:rsid w:val="00045113"/>
    <w:rsid w:val="00047763"/>
    <w:rsid w:val="00056977"/>
    <w:rsid w:val="000572A2"/>
    <w:rsid w:val="00062955"/>
    <w:rsid w:val="00077B9F"/>
    <w:rsid w:val="0008005E"/>
    <w:rsid w:val="00082D55"/>
    <w:rsid w:val="00083F56"/>
    <w:rsid w:val="00086543"/>
    <w:rsid w:val="000968B8"/>
    <w:rsid w:val="000C43C1"/>
    <w:rsid w:val="000C6B44"/>
    <w:rsid w:val="000D318F"/>
    <w:rsid w:val="000E2E0A"/>
    <w:rsid w:val="000E48A7"/>
    <w:rsid w:val="000E549C"/>
    <w:rsid w:val="000F2103"/>
    <w:rsid w:val="000F6D2E"/>
    <w:rsid w:val="000F6EB8"/>
    <w:rsid w:val="00105B39"/>
    <w:rsid w:val="00116E2E"/>
    <w:rsid w:val="001177E3"/>
    <w:rsid w:val="00120C85"/>
    <w:rsid w:val="0015635D"/>
    <w:rsid w:val="00157597"/>
    <w:rsid w:val="001616FE"/>
    <w:rsid w:val="00167B59"/>
    <w:rsid w:val="00167B87"/>
    <w:rsid w:val="001717AF"/>
    <w:rsid w:val="001866EB"/>
    <w:rsid w:val="00193CC7"/>
    <w:rsid w:val="00196C2E"/>
    <w:rsid w:val="001A0E9A"/>
    <w:rsid w:val="001A2CE0"/>
    <w:rsid w:val="001A34EE"/>
    <w:rsid w:val="001A3C96"/>
    <w:rsid w:val="001A7163"/>
    <w:rsid w:val="001B1ED4"/>
    <w:rsid w:val="001C3087"/>
    <w:rsid w:val="001E1E93"/>
    <w:rsid w:val="002034CC"/>
    <w:rsid w:val="00206146"/>
    <w:rsid w:val="002122C0"/>
    <w:rsid w:val="00213BA8"/>
    <w:rsid w:val="0022084D"/>
    <w:rsid w:val="0022289C"/>
    <w:rsid w:val="00237D3B"/>
    <w:rsid w:val="002409E1"/>
    <w:rsid w:val="0025129E"/>
    <w:rsid w:val="002629CF"/>
    <w:rsid w:val="002665D0"/>
    <w:rsid w:val="00280C82"/>
    <w:rsid w:val="002937E4"/>
    <w:rsid w:val="002A0C4D"/>
    <w:rsid w:val="002B0EFE"/>
    <w:rsid w:val="002B5B6C"/>
    <w:rsid w:val="002B61FD"/>
    <w:rsid w:val="002C29FC"/>
    <w:rsid w:val="002D4596"/>
    <w:rsid w:val="002D785F"/>
    <w:rsid w:val="002E0335"/>
    <w:rsid w:val="00326975"/>
    <w:rsid w:val="00327F6D"/>
    <w:rsid w:val="00331DE8"/>
    <w:rsid w:val="00343DE0"/>
    <w:rsid w:val="003443C3"/>
    <w:rsid w:val="00360D53"/>
    <w:rsid w:val="003631F9"/>
    <w:rsid w:val="003708DF"/>
    <w:rsid w:val="003804B2"/>
    <w:rsid w:val="00382EBA"/>
    <w:rsid w:val="003834A2"/>
    <w:rsid w:val="003A0D79"/>
    <w:rsid w:val="003A38E7"/>
    <w:rsid w:val="003A4919"/>
    <w:rsid w:val="003C0429"/>
    <w:rsid w:val="003C075C"/>
    <w:rsid w:val="003E1C24"/>
    <w:rsid w:val="003E2DE8"/>
    <w:rsid w:val="003E3082"/>
    <w:rsid w:val="003F0C93"/>
    <w:rsid w:val="003F1D79"/>
    <w:rsid w:val="003F70D1"/>
    <w:rsid w:val="00401105"/>
    <w:rsid w:val="00403AB1"/>
    <w:rsid w:val="0040487E"/>
    <w:rsid w:val="004075D8"/>
    <w:rsid w:val="00410777"/>
    <w:rsid w:val="0041118D"/>
    <w:rsid w:val="00421DD6"/>
    <w:rsid w:val="004279E1"/>
    <w:rsid w:val="00431EB0"/>
    <w:rsid w:val="00432F35"/>
    <w:rsid w:val="00436589"/>
    <w:rsid w:val="0044256B"/>
    <w:rsid w:val="00444307"/>
    <w:rsid w:val="00447A7E"/>
    <w:rsid w:val="00452058"/>
    <w:rsid w:val="0047482A"/>
    <w:rsid w:val="00475B2C"/>
    <w:rsid w:val="00477AA3"/>
    <w:rsid w:val="00496AA0"/>
    <w:rsid w:val="004A53F4"/>
    <w:rsid w:val="004B381B"/>
    <w:rsid w:val="004B387E"/>
    <w:rsid w:val="004C2167"/>
    <w:rsid w:val="004C6E62"/>
    <w:rsid w:val="005142B1"/>
    <w:rsid w:val="005264B1"/>
    <w:rsid w:val="005327C1"/>
    <w:rsid w:val="00554005"/>
    <w:rsid w:val="005559EA"/>
    <w:rsid w:val="00573764"/>
    <w:rsid w:val="005826F2"/>
    <w:rsid w:val="00583529"/>
    <w:rsid w:val="005C3D41"/>
    <w:rsid w:val="005C50E5"/>
    <w:rsid w:val="005E256B"/>
    <w:rsid w:val="00601141"/>
    <w:rsid w:val="00601D38"/>
    <w:rsid w:val="0060661D"/>
    <w:rsid w:val="00626457"/>
    <w:rsid w:val="0064074B"/>
    <w:rsid w:val="006408A4"/>
    <w:rsid w:val="006447AC"/>
    <w:rsid w:val="00651F0B"/>
    <w:rsid w:val="006712AA"/>
    <w:rsid w:val="006715CE"/>
    <w:rsid w:val="006852B3"/>
    <w:rsid w:val="00690622"/>
    <w:rsid w:val="00690B2D"/>
    <w:rsid w:val="00697CC2"/>
    <w:rsid w:val="006B3C5E"/>
    <w:rsid w:val="006B4563"/>
    <w:rsid w:val="006B7937"/>
    <w:rsid w:val="006F1BE7"/>
    <w:rsid w:val="006F2F9F"/>
    <w:rsid w:val="006F3B30"/>
    <w:rsid w:val="006F3E37"/>
    <w:rsid w:val="00703450"/>
    <w:rsid w:val="00703999"/>
    <w:rsid w:val="00704D53"/>
    <w:rsid w:val="0070638C"/>
    <w:rsid w:val="00711B05"/>
    <w:rsid w:val="00714C83"/>
    <w:rsid w:val="00720EB7"/>
    <w:rsid w:val="00736FAA"/>
    <w:rsid w:val="00747EF2"/>
    <w:rsid w:val="007577B6"/>
    <w:rsid w:val="007658C0"/>
    <w:rsid w:val="00780519"/>
    <w:rsid w:val="0079068F"/>
    <w:rsid w:val="00795AF2"/>
    <w:rsid w:val="007B4972"/>
    <w:rsid w:val="007C06E9"/>
    <w:rsid w:val="007C3AE6"/>
    <w:rsid w:val="007D1891"/>
    <w:rsid w:val="007E25E8"/>
    <w:rsid w:val="007E4533"/>
    <w:rsid w:val="008020F2"/>
    <w:rsid w:val="008071BE"/>
    <w:rsid w:val="00816FD6"/>
    <w:rsid w:val="00825049"/>
    <w:rsid w:val="0083169C"/>
    <w:rsid w:val="00846174"/>
    <w:rsid w:val="008462C1"/>
    <w:rsid w:val="008513BF"/>
    <w:rsid w:val="008548DA"/>
    <w:rsid w:val="00862440"/>
    <w:rsid w:val="00866563"/>
    <w:rsid w:val="00874538"/>
    <w:rsid w:val="008915C8"/>
    <w:rsid w:val="00891BA8"/>
    <w:rsid w:val="00892470"/>
    <w:rsid w:val="008A0597"/>
    <w:rsid w:val="008C279A"/>
    <w:rsid w:val="008D7018"/>
    <w:rsid w:val="008F23B3"/>
    <w:rsid w:val="008F7DCA"/>
    <w:rsid w:val="00902C6B"/>
    <w:rsid w:val="00905AC2"/>
    <w:rsid w:val="00905DC3"/>
    <w:rsid w:val="009206F9"/>
    <w:rsid w:val="0093217E"/>
    <w:rsid w:val="0093654F"/>
    <w:rsid w:val="00937B43"/>
    <w:rsid w:val="00963996"/>
    <w:rsid w:val="00973D58"/>
    <w:rsid w:val="0097615B"/>
    <w:rsid w:val="009849FC"/>
    <w:rsid w:val="00984C99"/>
    <w:rsid w:val="009920C1"/>
    <w:rsid w:val="009955FE"/>
    <w:rsid w:val="00996192"/>
    <w:rsid w:val="009C009C"/>
    <w:rsid w:val="009C3352"/>
    <w:rsid w:val="009C5653"/>
    <w:rsid w:val="009C5F97"/>
    <w:rsid w:val="009C78E4"/>
    <w:rsid w:val="009E1359"/>
    <w:rsid w:val="009E3B29"/>
    <w:rsid w:val="009E578C"/>
    <w:rsid w:val="009F75DE"/>
    <w:rsid w:val="00A022A0"/>
    <w:rsid w:val="00A034C3"/>
    <w:rsid w:val="00A04E8D"/>
    <w:rsid w:val="00A15F5C"/>
    <w:rsid w:val="00A229E3"/>
    <w:rsid w:val="00A276B0"/>
    <w:rsid w:val="00A31142"/>
    <w:rsid w:val="00A54644"/>
    <w:rsid w:val="00A77360"/>
    <w:rsid w:val="00A85EC7"/>
    <w:rsid w:val="00A91650"/>
    <w:rsid w:val="00AA745D"/>
    <w:rsid w:val="00AB66B1"/>
    <w:rsid w:val="00AD6C69"/>
    <w:rsid w:val="00AF00BF"/>
    <w:rsid w:val="00AF4907"/>
    <w:rsid w:val="00AF4DDF"/>
    <w:rsid w:val="00B01AE4"/>
    <w:rsid w:val="00B07BAE"/>
    <w:rsid w:val="00B31812"/>
    <w:rsid w:val="00B31EF5"/>
    <w:rsid w:val="00B33948"/>
    <w:rsid w:val="00B43C8F"/>
    <w:rsid w:val="00B77459"/>
    <w:rsid w:val="00B91575"/>
    <w:rsid w:val="00B95575"/>
    <w:rsid w:val="00BA3EB9"/>
    <w:rsid w:val="00BA6C12"/>
    <w:rsid w:val="00BB0351"/>
    <w:rsid w:val="00BB7BAB"/>
    <w:rsid w:val="00BC0C1C"/>
    <w:rsid w:val="00BC67A0"/>
    <w:rsid w:val="00BD19D4"/>
    <w:rsid w:val="00BE5325"/>
    <w:rsid w:val="00BF51B7"/>
    <w:rsid w:val="00C0133B"/>
    <w:rsid w:val="00C04729"/>
    <w:rsid w:val="00C16804"/>
    <w:rsid w:val="00C22799"/>
    <w:rsid w:val="00C30661"/>
    <w:rsid w:val="00C32EB0"/>
    <w:rsid w:val="00C33745"/>
    <w:rsid w:val="00C37770"/>
    <w:rsid w:val="00C538E4"/>
    <w:rsid w:val="00C5675F"/>
    <w:rsid w:val="00C57EC4"/>
    <w:rsid w:val="00C634D2"/>
    <w:rsid w:val="00C86FD7"/>
    <w:rsid w:val="00C92BCC"/>
    <w:rsid w:val="00CB0E37"/>
    <w:rsid w:val="00CB288E"/>
    <w:rsid w:val="00CC248F"/>
    <w:rsid w:val="00CC70DC"/>
    <w:rsid w:val="00CC7306"/>
    <w:rsid w:val="00CD1DB0"/>
    <w:rsid w:val="00CD3432"/>
    <w:rsid w:val="00CD6076"/>
    <w:rsid w:val="00CD676C"/>
    <w:rsid w:val="00CE3C61"/>
    <w:rsid w:val="00CE3E5B"/>
    <w:rsid w:val="00CF2047"/>
    <w:rsid w:val="00D00DE0"/>
    <w:rsid w:val="00D31717"/>
    <w:rsid w:val="00D454A3"/>
    <w:rsid w:val="00D55DF2"/>
    <w:rsid w:val="00D64EE3"/>
    <w:rsid w:val="00D6625E"/>
    <w:rsid w:val="00D70140"/>
    <w:rsid w:val="00D739F0"/>
    <w:rsid w:val="00D90E26"/>
    <w:rsid w:val="00D97C31"/>
    <w:rsid w:val="00DA375F"/>
    <w:rsid w:val="00DB2DE8"/>
    <w:rsid w:val="00DC0935"/>
    <w:rsid w:val="00DC6816"/>
    <w:rsid w:val="00DD7E21"/>
    <w:rsid w:val="00DF1244"/>
    <w:rsid w:val="00DF342A"/>
    <w:rsid w:val="00E05C26"/>
    <w:rsid w:val="00E061D1"/>
    <w:rsid w:val="00E06490"/>
    <w:rsid w:val="00E21029"/>
    <w:rsid w:val="00E23188"/>
    <w:rsid w:val="00E3301E"/>
    <w:rsid w:val="00E34BDD"/>
    <w:rsid w:val="00E41A34"/>
    <w:rsid w:val="00E51277"/>
    <w:rsid w:val="00E6302D"/>
    <w:rsid w:val="00E64BD5"/>
    <w:rsid w:val="00E91AE5"/>
    <w:rsid w:val="00EA2013"/>
    <w:rsid w:val="00EB22AD"/>
    <w:rsid w:val="00EB33FA"/>
    <w:rsid w:val="00EC03F8"/>
    <w:rsid w:val="00EC2D7F"/>
    <w:rsid w:val="00ED128D"/>
    <w:rsid w:val="00ED18FD"/>
    <w:rsid w:val="00ED3958"/>
    <w:rsid w:val="00EF565F"/>
    <w:rsid w:val="00F02DE3"/>
    <w:rsid w:val="00F045C3"/>
    <w:rsid w:val="00F06C42"/>
    <w:rsid w:val="00F1550F"/>
    <w:rsid w:val="00F17144"/>
    <w:rsid w:val="00F239A0"/>
    <w:rsid w:val="00F36016"/>
    <w:rsid w:val="00F46BC7"/>
    <w:rsid w:val="00F51325"/>
    <w:rsid w:val="00F55D00"/>
    <w:rsid w:val="00F60624"/>
    <w:rsid w:val="00FB02A7"/>
    <w:rsid w:val="00FB6022"/>
    <w:rsid w:val="00FC1591"/>
    <w:rsid w:val="00FC418F"/>
    <w:rsid w:val="00FD2618"/>
    <w:rsid w:val="00FD3A29"/>
    <w:rsid w:val="00FF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D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33A9A"/>
    <w:pPr>
      <w:numPr>
        <w:numId w:val="5"/>
      </w:numPr>
      <w:spacing w:line="360" w:lineRule="auto"/>
      <w:outlineLvl w:val="0"/>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B2DE8"/>
    <w:pPr>
      <w:widowControl w:val="0"/>
      <w:autoSpaceDE w:val="0"/>
      <w:autoSpaceDN w:val="0"/>
      <w:spacing w:after="0" w:line="240" w:lineRule="auto"/>
    </w:pPr>
    <w:rPr>
      <w:rFonts w:ascii="Calibri" w:eastAsia="Calibri" w:hAnsi="Calibri" w:cs="Calibri"/>
      <w:lang w:val="en-US"/>
    </w:rPr>
  </w:style>
  <w:style w:type="paragraph" w:styleId="ListParagraph">
    <w:name w:val="List Paragraph"/>
    <w:aliases w:val="Main numbered paragraph,List Paragraph (numbered (a)),123 List Paragraph,Body,Bullet,Bullet paras,Bullets,IBL List Paragraph,List Paragraph nowy,List Paragraph1,List_Paragraph,Liste 1,Multilevel para_II,Normal 2 DC,References,lp1"/>
    <w:basedOn w:val="Normal"/>
    <w:link w:val="ListParagraphChar"/>
    <w:uiPriority w:val="34"/>
    <w:qFormat/>
    <w:rsid w:val="00401105"/>
    <w:pPr>
      <w:numPr>
        <w:numId w:val="2"/>
      </w:numPr>
    </w:pPr>
  </w:style>
  <w:style w:type="paragraph" w:customStyle="1" w:styleId="xmsonormal">
    <w:name w:val="x_msonormal"/>
    <w:basedOn w:val="Normal"/>
    <w:rsid w:val="00077B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077B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00D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0DE0"/>
    <w:rPr>
      <w:sz w:val="20"/>
      <w:szCs w:val="20"/>
    </w:rPr>
  </w:style>
  <w:style w:type="character" w:styleId="FootnoteReference">
    <w:name w:val="footnote reference"/>
    <w:basedOn w:val="DefaultParagraphFont"/>
    <w:uiPriority w:val="99"/>
    <w:semiHidden/>
    <w:unhideWhenUsed/>
    <w:rsid w:val="00D00DE0"/>
    <w:rPr>
      <w:vertAlign w:val="superscript"/>
    </w:rPr>
  </w:style>
  <w:style w:type="paragraph" w:styleId="EndnoteText">
    <w:name w:val="endnote text"/>
    <w:basedOn w:val="Normal"/>
    <w:link w:val="EndnoteTextChar"/>
    <w:uiPriority w:val="99"/>
    <w:unhideWhenUsed/>
    <w:rsid w:val="00D00DE0"/>
    <w:pPr>
      <w:autoSpaceDE w:val="0"/>
      <w:autoSpaceDN w:val="0"/>
      <w:adjustRightInd w:val="0"/>
      <w:spacing w:after="0" w:line="240" w:lineRule="auto"/>
    </w:pPr>
    <w:rPr>
      <w:rFonts w:ascii="SegoeUI" w:hAnsi="SegoeUI" w:cs="SegoeUI"/>
      <w:sz w:val="20"/>
      <w:szCs w:val="20"/>
      <w:lang w:val="en-US"/>
    </w:rPr>
  </w:style>
  <w:style w:type="character" w:customStyle="1" w:styleId="EndnoteTextChar">
    <w:name w:val="Endnote Text Char"/>
    <w:basedOn w:val="DefaultParagraphFont"/>
    <w:link w:val="EndnoteText"/>
    <w:uiPriority w:val="99"/>
    <w:rsid w:val="00D00DE0"/>
    <w:rPr>
      <w:rFonts w:ascii="SegoeUI" w:hAnsi="SegoeUI" w:cs="SegoeUI"/>
      <w:sz w:val="20"/>
      <w:szCs w:val="20"/>
      <w:lang w:val="en-US"/>
    </w:rPr>
  </w:style>
  <w:style w:type="character" w:styleId="EndnoteReference">
    <w:name w:val="endnote reference"/>
    <w:basedOn w:val="DefaultParagraphFont"/>
    <w:uiPriority w:val="99"/>
    <w:semiHidden/>
    <w:unhideWhenUsed/>
    <w:rsid w:val="005327C1"/>
    <w:rPr>
      <w:vertAlign w:val="superscript"/>
    </w:rPr>
  </w:style>
  <w:style w:type="paragraph" w:styleId="Header">
    <w:name w:val="header"/>
    <w:basedOn w:val="Normal"/>
    <w:link w:val="HeaderChar"/>
    <w:uiPriority w:val="99"/>
    <w:unhideWhenUsed/>
    <w:rsid w:val="00D55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DF2"/>
  </w:style>
  <w:style w:type="paragraph" w:styleId="Footer">
    <w:name w:val="footer"/>
    <w:basedOn w:val="Normal"/>
    <w:link w:val="FooterChar"/>
    <w:uiPriority w:val="99"/>
    <w:unhideWhenUsed/>
    <w:rsid w:val="00D55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DF2"/>
  </w:style>
  <w:style w:type="character" w:customStyle="1" w:styleId="Heading1Char">
    <w:name w:val="Heading 1 Char"/>
    <w:basedOn w:val="DefaultParagraphFont"/>
    <w:link w:val="Heading1"/>
    <w:uiPriority w:val="9"/>
    <w:rsid w:val="00033A9A"/>
    <w:rPr>
      <w:rFonts w:ascii="Times New Roman" w:hAnsi="Times New Roman" w:cs="Times New Roman"/>
      <w:b/>
      <w:bCs/>
      <w:lang w:val="en-US"/>
    </w:rPr>
  </w:style>
  <w:style w:type="character" w:styleId="CommentReference">
    <w:name w:val="annotation reference"/>
    <w:basedOn w:val="DefaultParagraphFont"/>
    <w:uiPriority w:val="99"/>
    <w:semiHidden/>
    <w:unhideWhenUsed/>
    <w:rsid w:val="00237D3B"/>
    <w:rPr>
      <w:sz w:val="16"/>
      <w:szCs w:val="16"/>
    </w:rPr>
  </w:style>
  <w:style w:type="paragraph" w:styleId="CommentText">
    <w:name w:val="annotation text"/>
    <w:basedOn w:val="Normal"/>
    <w:link w:val="CommentTextChar"/>
    <w:uiPriority w:val="99"/>
    <w:semiHidden/>
    <w:unhideWhenUsed/>
    <w:rsid w:val="00237D3B"/>
    <w:pPr>
      <w:spacing w:line="240" w:lineRule="auto"/>
    </w:pPr>
    <w:rPr>
      <w:sz w:val="20"/>
      <w:szCs w:val="20"/>
    </w:rPr>
  </w:style>
  <w:style w:type="character" w:customStyle="1" w:styleId="CommentTextChar">
    <w:name w:val="Comment Text Char"/>
    <w:basedOn w:val="DefaultParagraphFont"/>
    <w:link w:val="CommentText"/>
    <w:uiPriority w:val="99"/>
    <w:semiHidden/>
    <w:rsid w:val="00237D3B"/>
    <w:rPr>
      <w:sz w:val="20"/>
      <w:szCs w:val="20"/>
    </w:rPr>
  </w:style>
  <w:style w:type="paragraph" w:styleId="CommentSubject">
    <w:name w:val="annotation subject"/>
    <w:basedOn w:val="CommentText"/>
    <w:next w:val="CommentText"/>
    <w:link w:val="CommentSubjectChar"/>
    <w:uiPriority w:val="99"/>
    <w:semiHidden/>
    <w:unhideWhenUsed/>
    <w:rsid w:val="00237D3B"/>
    <w:rPr>
      <w:b/>
      <w:bCs/>
    </w:rPr>
  </w:style>
  <w:style w:type="character" w:customStyle="1" w:styleId="CommentSubjectChar">
    <w:name w:val="Comment Subject Char"/>
    <w:basedOn w:val="CommentTextChar"/>
    <w:link w:val="CommentSubject"/>
    <w:uiPriority w:val="99"/>
    <w:semiHidden/>
    <w:rsid w:val="00237D3B"/>
    <w:rPr>
      <w:b/>
      <w:bCs/>
      <w:sz w:val="20"/>
      <w:szCs w:val="20"/>
    </w:rPr>
  </w:style>
  <w:style w:type="paragraph" w:styleId="Revision">
    <w:name w:val="Revision"/>
    <w:hidden/>
    <w:uiPriority w:val="99"/>
    <w:semiHidden/>
    <w:rsid w:val="006852B3"/>
    <w:pPr>
      <w:spacing w:after="0" w:line="240" w:lineRule="auto"/>
    </w:pPr>
  </w:style>
  <w:style w:type="character" w:customStyle="1" w:styleId="ListParagraphChar">
    <w:name w:val="List Paragraph Char"/>
    <w:aliases w:val="Main numbered paragraph Char,List Paragraph (numbered (a)) Char,123 List Paragraph Char,Body Char,Bullet Char,Bullet paras Char,Bullets Char,IBL List Paragraph Char,List Paragraph nowy Char,List Paragraph1 Char,List_Paragraph Char"/>
    <w:basedOn w:val="DefaultParagraphFont"/>
    <w:link w:val="ListParagraph"/>
    <w:uiPriority w:val="34"/>
    <w:qFormat/>
    <w:rsid w:val="00780519"/>
  </w:style>
  <w:style w:type="table" w:styleId="TableGrid">
    <w:name w:val="Table Grid"/>
    <w:basedOn w:val="TableNormal"/>
    <w:uiPriority w:val="39"/>
    <w:rsid w:val="00A04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33A9A"/>
    <w:pPr>
      <w:numPr>
        <w:numId w:val="5"/>
      </w:numPr>
      <w:spacing w:line="360" w:lineRule="auto"/>
      <w:outlineLvl w:val="0"/>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B2DE8"/>
    <w:pPr>
      <w:widowControl w:val="0"/>
      <w:autoSpaceDE w:val="0"/>
      <w:autoSpaceDN w:val="0"/>
      <w:spacing w:after="0" w:line="240" w:lineRule="auto"/>
    </w:pPr>
    <w:rPr>
      <w:rFonts w:ascii="Calibri" w:eastAsia="Calibri" w:hAnsi="Calibri" w:cs="Calibri"/>
      <w:lang w:val="en-US"/>
    </w:rPr>
  </w:style>
  <w:style w:type="paragraph" w:styleId="ListParagraph">
    <w:name w:val="List Paragraph"/>
    <w:aliases w:val="Main numbered paragraph,List Paragraph (numbered (a)),123 List Paragraph,Body,Bullet,Bullet paras,Bullets,IBL List Paragraph,List Paragraph nowy,List Paragraph1,List_Paragraph,Liste 1,Multilevel para_II,Normal 2 DC,References,lp1"/>
    <w:basedOn w:val="Normal"/>
    <w:link w:val="ListParagraphChar"/>
    <w:uiPriority w:val="34"/>
    <w:qFormat/>
    <w:rsid w:val="00401105"/>
    <w:pPr>
      <w:numPr>
        <w:numId w:val="2"/>
      </w:numPr>
    </w:pPr>
  </w:style>
  <w:style w:type="paragraph" w:customStyle="1" w:styleId="xmsonormal">
    <w:name w:val="x_msonormal"/>
    <w:basedOn w:val="Normal"/>
    <w:rsid w:val="00077B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077B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00D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0DE0"/>
    <w:rPr>
      <w:sz w:val="20"/>
      <w:szCs w:val="20"/>
    </w:rPr>
  </w:style>
  <w:style w:type="character" w:styleId="FootnoteReference">
    <w:name w:val="footnote reference"/>
    <w:basedOn w:val="DefaultParagraphFont"/>
    <w:uiPriority w:val="99"/>
    <w:semiHidden/>
    <w:unhideWhenUsed/>
    <w:rsid w:val="00D00DE0"/>
    <w:rPr>
      <w:vertAlign w:val="superscript"/>
    </w:rPr>
  </w:style>
  <w:style w:type="paragraph" w:styleId="EndnoteText">
    <w:name w:val="endnote text"/>
    <w:basedOn w:val="Normal"/>
    <w:link w:val="EndnoteTextChar"/>
    <w:uiPriority w:val="99"/>
    <w:unhideWhenUsed/>
    <w:rsid w:val="00D00DE0"/>
    <w:pPr>
      <w:autoSpaceDE w:val="0"/>
      <w:autoSpaceDN w:val="0"/>
      <w:adjustRightInd w:val="0"/>
      <w:spacing w:after="0" w:line="240" w:lineRule="auto"/>
    </w:pPr>
    <w:rPr>
      <w:rFonts w:ascii="SegoeUI" w:hAnsi="SegoeUI" w:cs="SegoeUI"/>
      <w:sz w:val="20"/>
      <w:szCs w:val="20"/>
      <w:lang w:val="en-US"/>
    </w:rPr>
  </w:style>
  <w:style w:type="character" w:customStyle="1" w:styleId="EndnoteTextChar">
    <w:name w:val="Endnote Text Char"/>
    <w:basedOn w:val="DefaultParagraphFont"/>
    <w:link w:val="EndnoteText"/>
    <w:uiPriority w:val="99"/>
    <w:rsid w:val="00D00DE0"/>
    <w:rPr>
      <w:rFonts w:ascii="SegoeUI" w:hAnsi="SegoeUI" w:cs="SegoeUI"/>
      <w:sz w:val="20"/>
      <w:szCs w:val="20"/>
      <w:lang w:val="en-US"/>
    </w:rPr>
  </w:style>
  <w:style w:type="character" w:styleId="EndnoteReference">
    <w:name w:val="endnote reference"/>
    <w:basedOn w:val="DefaultParagraphFont"/>
    <w:uiPriority w:val="99"/>
    <w:semiHidden/>
    <w:unhideWhenUsed/>
    <w:rsid w:val="005327C1"/>
    <w:rPr>
      <w:vertAlign w:val="superscript"/>
    </w:rPr>
  </w:style>
  <w:style w:type="paragraph" w:styleId="Header">
    <w:name w:val="header"/>
    <w:basedOn w:val="Normal"/>
    <w:link w:val="HeaderChar"/>
    <w:uiPriority w:val="99"/>
    <w:unhideWhenUsed/>
    <w:rsid w:val="00D55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DF2"/>
  </w:style>
  <w:style w:type="paragraph" w:styleId="Footer">
    <w:name w:val="footer"/>
    <w:basedOn w:val="Normal"/>
    <w:link w:val="FooterChar"/>
    <w:uiPriority w:val="99"/>
    <w:unhideWhenUsed/>
    <w:rsid w:val="00D55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DF2"/>
  </w:style>
  <w:style w:type="character" w:customStyle="1" w:styleId="Heading1Char">
    <w:name w:val="Heading 1 Char"/>
    <w:basedOn w:val="DefaultParagraphFont"/>
    <w:link w:val="Heading1"/>
    <w:uiPriority w:val="9"/>
    <w:rsid w:val="00033A9A"/>
    <w:rPr>
      <w:rFonts w:ascii="Times New Roman" w:hAnsi="Times New Roman" w:cs="Times New Roman"/>
      <w:b/>
      <w:bCs/>
      <w:lang w:val="en-US"/>
    </w:rPr>
  </w:style>
  <w:style w:type="character" w:styleId="CommentReference">
    <w:name w:val="annotation reference"/>
    <w:basedOn w:val="DefaultParagraphFont"/>
    <w:uiPriority w:val="99"/>
    <w:semiHidden/>
    <w:unhideWhenUsed/>
    <w:rsid w:val="00237D3B"/>
    <w:rPr>
      <w:sz w:val="16"/>
      <w:szCs w:val="16"/>
    </w:rPr>
  </w:style>
  <w:style w:type="paragraph" w:styleId="CommentText">
    <w:name w:val="annotation text"/>
    <w:basedOn w:val="Normal"/>
    <w:link w:val="CommentTextChar"/>
    <w:uiPriority w:val="99"/>
    <w:semiHidden/>
    <w:unhideWhenUsed/>
    <w:rsid w:val="00237D3B"/>
    <w:pPr>
      <w:spacing w:line="240" w:lineRule="auto"/>
    </w:pPr>
    <w:rPr>
      <w:sz w:val="20"/>
      <w:szCs w:val="20"/>
    </w:rPr>
  </w:style>
  <w:style w:type="character" w:customStyle="1" w:styleId="CommentTextChar">
    <w:name w:val="Comment Text Char"/>
    <w:basedOn w:val="DefaultParagraphFont"/>
    <w:link w:val="CommentText"/>
    <w:uiPriority w:val="99"/>
    <w:semiHidden/>
    <w:rsid w:val="00237D3B"/>
    <w:rPr>
      <w:sz w:val="20"/>
      <w:szCs w:val="20"/>
    </w:rPr>
  </w:style>
  <w:style w:type="paragraph" w:styleId="CommentSubject">
    <w:name w:val="annotation subject"/>
    <w:basedOn w:val="CommentText"/>
    <w:next w:val="CommentText"/>
    <w:link w:val="CommentSubjectChar"/>
    <w:uiPriority w:val="99"/>
    <w:semiHidden/>
    <w:unhideWhenUsed/>
    <w:rsid w:val="00237D3B"/>
    <w:rPr>
      <w:b/>
      <w:bCs/>
    </w:rPr>
  </w:style>
  <w:style w:type="character" w:customStyle="1" w:styleId="CommentSubjectChar">
    <w:name w:val="Comment Subject Char"/>
    <w:basedOn w:val="CommentTextChar"/>
    <w:link w:val="CommentSubject"/>
    <w:uiPriority w:val="99"/>
    <w:semiHidden/>
    <w:rsid w:val="00237D3B"/>
    <w:rPr>
      <w:b/>
      <w:bCs/>
      <w:sz w:val="20"/>
      <w:szCs w:val="20"/>
    </w:rPr>
  </w:style>
  <w:style w:type="paragraph" w:styleId="Revision">
    <w:name w:val="Revision"/>
    <w:hidden/>
    <w:uiPriority w:val="99"/>
    <w:semiHidden/>
    <w:rsid w:val="006852B3"/>
    <w:pPr>
      <w:spacing w:after="0" w:line="240" w:lineRule="auto"/>
    </w:pPr>
  </w:style>
  <w:style w:type="character" w:customStyle="1" w:styleId="ListParagraphChar">
    <w:name w:val="List Paragraph Char"/>
    <w:aliases w:val="Main numbered paragraph Char,List Paragraph (numbered (a)) Char,123 List Paragraph Char,Body Char,Bullet Char,Bullet paras Char,Bullets Char,IBL List Paragraph Char,List Paragraph nowy Char,List Paragraph1 Char,List_Paragraph Char"/>
    <w:basedOn w:val="DefaultParagraphFont"/>
    <w:link w:val="ListParagraph"/>
    <w:uiPriority w:val="34"/>
    <w:qFormat/>
    <w:rsid w:val="00780519"/>
  </w:style>
  <w:style w:type="table" w:styleId="TableGrid">
    <w:name w:val="Table Grid"/>
    <w:basedOn w:val="TableNormal"/>
    <w:uiPriority w:val="39"/>
    <w:rsid w:val="00A04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63037">
      <w:bodyDiv w:val="1"/>
      <w:marLeft w:val="0"/>
      <w:marRight w:val="0"/>
      <w:marTop w:val="0"/>
      <w:marBottom w:val="0"/>
      <w:divBdr>
        <w:top w:val="none" w:sz="0" w:space="0" w:color="auto"/>
        <w:left w:val="none" w:sz="0" w:space="0" w:color="auto"/>
        <w:bottom w:val="none" w:sz="0" w:space="0" w:color="auto"/>
        <w:right w:val="none" w:sz="0" w:space="0" w:color="auto"/>
      </w:divBdr>
    </w:div>
    <w:div w:id="183305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49BF-F289-485B-98B3-806474FB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PHELPS</dc:creator>
  <cp:lastModifiedBy>rfran</cp:lastModifiedBy>
  <cp:revision>2</cp:revision>
  <cp:lastPrinted>2023-03-21T14:35:00Z</cp:lastPrinted>
  <dcterms:created xsi:type="dcterms:W3CDTF">2024-02-15T15:49:00Z</dcterms:created>
  <dcterms:modified xsi:type="dcterms:W3CDTF">2024-02-15T15:49:00Z</dcterms:modified>
</cp:coreProperties>
</file>