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769616" w14:textId="77777777" w:rsidR="00D3139A" w:rsidRDefault="00D3139A" w:rsidP="00D3139A">
      <w:r>
        <w:rPr>
          <w:b/>
          <w:noProof/>
          <w:sz w:val="32"/>
        </w:rPr>
        <w:drawing>
          <wp:anchor distT="0" distB="0" distL="114300" distR="114300" simplePos="0" relativeHeight="251659264" behindDoc="0" locked="0" layoutInCell="1" allowOverlap="1" wp14:anchorId="056A89A5" wp14:editId="632F31E4">
            <wp:simplePos x="0" y="0"/>
            <wp:positionH relativeFrom="column">
              <wp:posOffset>2454275</wp:posOffset>
            </wp:positionH>
            <wp:positionV relativeFrom="paragraph">
              <wp:posOffset>-262255</wp:posOffset>
            </wp:positionV>
            <wp:extent cx="939800" cy="685800"/>
            <wp:effectExtent l="0" t="0" r="0" b="0"/>
            <wp:wrapNone/>
            <wp:docPr id="2" name="Picture 2" descr="haiti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iti2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9800" cy="685800"/>
                    </a:xfrm>
                    <a:prstGeom prst="rect">
                      <a:avLst/>
                    </a:prstGeom>
                    <a:noFill/>
                    <a:ln>
                      <a:noFill/>
                    </a:ln>
                  </pic:spPr>
                </pic:pic>
              </a:graphicData>
            </a:graphic>
          </wp:anchor>
        </w:drawing>
      </w:r>
    </w:p>
    <w:p w14:paraId="0768A8B5" w14:textId="77777777" w:rsidR="00D3139A" w:rsidRDefault="00D3139A" w:rsidP="00D3139A">
      <w:pPr>
        <w:pStyle w:val="Header"/>
        <w:rPr>
          <w:b/>
          <w:noProof/>
          <w:sz w:val="32"/>
          <w:lang w:val="fr-FR"/>
        </w:rPr>
      </w:pPr>
    </w:p>
    <w:p w14:paraId="551CCBA5" w14:textId="77777777" w:rsidR="00D3139A" w:rsidRPr="009A7550" w:rsidRDefault="00D3139A" w:rsidP="00D3139A">
      <w:pPr>
        <w:pStyle w:val="Header"/>
        <w:jc w:val="center"/>
        <w:rPr>
          <w:rFonts w:ascii="Times New Roman" w:hAnsi="Times New Roman" w:cs="Times New Roman"/>
          <w:b/>
          <w:sz w:val="28"/>
          <w:szCs w:val="28"/>
          <w:lang w:val="fr-FR"/>
        </w:rPr>
      </w:pPr>
      <w:r w:rsidRPr="009A7550">
        <w:rPr>
          <w:rFonts w:ascii="Times New Roman" w:hAnsi="Times New Roman" w:cs="Times New Roman"/>
          <w:b/>
          <w:sz w:val="28"/>
          <w:szCs w:val="28"/>
          <w:lang w:val="fr-FR"/>
        </w:rPr>
        <w:t>MINISTERE DE LA SANTÉ PUBLIQUE ET DE LA POPULATION</w:t>
      </w:r>
    </w:p>
    <w:p w14:paraId="4CBD5301" w14:textId="0185C366" w:rsidR="00D3139A" w:rsidRPr="009A7550" w:rsidRDefault="00D3139A" w:rsidP="00D3139A">
      <w:pPr>
        <w:pStyle w:val="Header"/>
        <w:jc w:val="center"/>
        <w:rPr>
          <w:rFonts w:ascii="Times New Roman" w:hAnsi="Times New Roman" w:cs="Times New Roman"/>
          <w:b/>
          <w:sz w:val="24"/>
          <w:szCs w:val="24"/>
          <w:lang w:val="fr-FR"/>
        </w:rPr>
      </w:pPr>
      <w:r w:rsidRPr="009A7550">
        <w:rPr>
          <w:rFonts w:ascii="Times New Roman" w:hAnsi="Times New Roman" w:cs="Times New Roman"/>
          <w:b/>
          <w:sz w:val="24"/>
          <w:szCs w:val="24"/>
          <w:lang w:val="fr-FR"/>
        </w:rPr>
        <w:t>UNITÉ DE COORDINATION DES MALADIES INFECTUEUSES ET TRANSMISSIBLE</w:t>
      </w:r>
    </w:p>
    <w:p w14:paraId="162633F1" w14:textId="1AE66EF4" w:rsidR="00D3139A" w:rsidRPr="009A7550" w:rsidRDefault="000E0EF0" w:rsidP="009A7550">
      <w:pPr>
        <w:pStyle w:val="Header"/>
        <w:jc w:val="center"/>
        <w:rPr>
          <w:rFonts w:ascii="Times New Roman" w:hAnsi="Times New Roman" w:cs="Times New Roman"/>
          <w:b/>
          <w:lang w:val="fr-FR"/>
        </w:rPr>
      </w:pPr>
      <w:r w:rsidRPr="009A7550">
        <w:rPr>
          <w:rFonts w:ascii="Times New Roman" w:hAnsi="Times New Roman" w:cs="Times New Roman"/>
          <w:b/>
          <w:sz w:val="28"/>
          <w:lang w:val="fr-FR"/>
        </w:rPr>
        <w:t>U</w:t>
      </w:r>
      <w:r w:rsidR="009A7550" w:rsidRPr="009A7550">
        <w:rPr>
          <w:rFonts w:ascii="Times New Roman" w:hAnsi="Times New Roman" w:cs="Times New Roman"/>
          <w:b/>
          <w:sz w:val="28"/>
          <w:lang w:val="fr-FR"/>
        </w:rPr>
        <w:t>CMIT / MSPP</w:t>
      </w:r>
    </w:p>
    <w:p w14:paraId="52A37194" w14:textId="77777777" w:rsidR="00D3139A" w:rsidRPr="00D3139A" w:rsidRDefault="00D3139A" w:rsidP="00D3139A">
      <w:pPr>
        <w:spacing w:after="0"/>
        <w:jc w:val="center"/>
        <w:rPr>
          <w:rFonts w:ascii="Arial" w:hAnsi="Arial" w:cs="Arial"/>
          <w:b/>
          <w:bCs/>
          <w:lang w:val="fr-FR"/>
        </w:rPr>
      </w:pPr>
      <w:r w:rsidRPr="00D3139A">
        <w:rPr>
          <w:rFonts w:ascii="Arial" w:hAnsi="Arial" w:cs="Arial"/>
          <w:b/>
          <w:bCs/>
          <w:lang w:val="fr-FR"/>
        </w:rPr>
        <w:t>____________________________________________________________________________</w:t>
      </w:r>
    </w:p>
    <w:p w14:paraId="63490A1D" w14:textId="77777777" w:rsidR="00D3139A" w:rsidRPr="009A7550" w:rsidRDefault="00D3139A" w:rsidP="00D3139A">
      <w:pPr>
        <w:spacing w:after="0"/>
        <w:jc w:val="center"/>
        <w:rPr>
          <w:rFonts w:ascii="Times New Roman" w:hAnsi="Times New Roman" w:cs="Times New Roman"/>
          <w:b/>
          <w:bCs/>
          <w:sz w:val="20"/>
          <w:szCs w:val="20"/>
          <w:lang w:val="fr-FR"/>
        </w:rPr>
      </w:pPr>
    </w:p>
    <w:p w14:paraId="0415E217" w14:textId="77777777" w:rsidR="00D3139A" w:rsidRPr="009A7550" w:rsidRDefault="00D3139A" w:rsidP="00D3139A">
      <w:pPr>
        <w:spacing w:after="0"/>
        <w:jc w:val="center"/>
        <w:rPr>
          <w:rFonts w:ascii="Times New Roman" w:hAnsi="Times New Roman" w:cs="Times New Roman"/>
          <w:b/>
          <w:bCs/>
          <w:sz w:val="24"/>
          <w:szCs w:val="24"/>
          <w:lang w:val="fr-FR"/>
        </w:rPr>
      </w:pPr>
      <w:r w:rsidRPr="009A7550">
        <w:rPr>
          <w:rFonts w:ascii="Times New Roman" w:hAnsi="Times New Roman" w:cs="Times New Roman"/>
          <w:b/>
          <w:bCs/>
          <w:sz w:val="24"/>
          <w:szCs w:val="24"/>
          <w:lang w:val="fr-FR"/>
        </w:rPr>
        <w:t xml:space="preserve">TERMES DE REFERENCE </w:t>
      </w:r>
    </w:p>
    <w:p w14:paraId="568F40E1" w14:textId="4BC8FBB2" w:rsidR="00D3139A" w:rsidRPr="009A7550" w:rsidRDefault="00DB2B98" w:rsidP="00D3139A">
      <w:pPr>
        <w:spacing w:after="0"/>
        <w:jc w:val="center"/>
        <w:rPr>
          <w:rFonts w:ascii="Palatino Linotype" w:hAnsi="Palatino Linotype" w:cs="Arial"/>
          <w:b/>
          <w:bCs/>
          <w:sz w:val="26"/>
          <w:szCs w:val="26"/>
          <w:lang w:val="fr-FR"/>
        </w:rPr>
      </w:pPr>
      <w:r>
        <w:rPr>
          <w:rFonts w:ascii="Palatino Linotype" w:hAnsi="Palatino Linotype" w:cs="Arial"/>
          <w:b/>
          <w:bCs/>
          <w:sz w:val="26"/>
          <w:szCs w:val="26"/>
          <w:lang w:val="fr-FR"/>
        </w:rPr>
        <w:t>Installation</w:t>
      </w:r>
      <w:r w:rsidR="00D3139A" w:rsidRPr="009A7550">
        <w:rPr>
          <w:rFonts w:ascii="Palatino Linotype" w:hAnsi="Palatino Linotype" w:cs="Arial"/>
          <w:b/>
          <w:bCs/>
          <w:sz w:val="26"/>
          <w:szCs w:val="26"/>
          <w:lang w:val="fr-FR"/>
        </w:rPr>
        <w:t xml:space="preserve"> d’une Cuve de Stockage de Carburant </w:t>
      </w:r>
    </w:p>
    <w:p w14:paraId="50B8DE3D" w14:textId="77777777" w:rsidR="00D3139A" w:rsidRPr="00D3139A" w:rsidRDefault="00D3139A" w:rsidP="00D3139A">
      <w:pPr>
        <w:spacing w:after="0"/>
        <w:jc w:val="center"/>
        <w:rPr>
          <w:rFonts w:ascii="Arial" w:hAnsi="Arial" w:cs="Arial"/>
          <w:b/>
          <w:bCs/>
          <w:lang w:val="fr-FR"/>
        </w:rPr>
      </w:pPr>
    </w:p>
    <w:p w14:paraId="5F32B694" w14:textId="77777777" w:rsidR="00D3139A" w:rsidRPr="00D3139A" w:rsidRDefault="00D3139A" w:rsidP="00D3139A">
      <w:pPr>
        <w:spacing w:after="0"/>
        <w:jc w:val="center"/>
        <w:rPr>
          <w:rFonts w:ascii="Arial" w:hAnsi="Arial" w:cs="Arial"/>
          <w:b/>
          <w:bCs/>
          <w:lang w:val="fr-FR"/>
        </w:rPr>
      </w:pPr>
    </w:p>
    <w:p w14:paraId="3793459A" w14:textId="026D1B02" w:rsidR="00D3139A" w:rsidRPr="000B79AA" w:rsidRDefault="00C947CC" w:rsidP="00D3139A">
      <w:pPr>
        <w:pStyle w:val="NoSpacing"/>
        <w:numPr>
          <w:ilvl w:val="0"/>
          <w:numId w:val="1"/>
        </w:numPr>
        <w:tabs>
          <w:tab w:val="left" w:pos="720"/>
        </w:tabs>
        <w:ind w:hanging="540"/>
        <w:jc w:val="both"/>
        <w:rPr>
          <w:rFonts w:ascii="Palatino Linotype" w:hAnsi="Palatino Linotype"/>
          <w:b/>
          <w:bCs/>
        </w:rPr>
      </w:pPr>
      <w:r>
        <w:rPr>
          <w:rFonts w:ascii="Palatino Linotype" w:hAnsi="Palatino Linotype"/>
          <w:b/>
          <w:bCs/>
        </w:rPr>
        <w:t>Mise en Contexte / Justification</w:t>
      </w:r>
    </w:p>
    <w:p w14:paraId="5BBFAABD" w14:textId="1407E530" w:rsidR="00870E3F" w:rsidRPr="003C2583" w:rsidRDefault="00D3139A" w:rsidP="00D3139A">
      <w:pPr>
        <w:pStyle w:val="NoSpacing"/>
        <w:jc w:val="both"/>
        <w:rPr>
          <w:rFonts w:ascii="Palatino Linotype" w:hAnsi="Palatino Linotype"/>
        </w:rPr>
      </w:pPr>
      <w:r w:rsidRPr="000B79AA">
        <w:rPr>
          <w:rFonts w:ascii="Palatino Linotype" w:eastAsia="Times New Roman" w:hAnsi="Palatino Linotype" w:cs="Times New Roman"/>
        </w:rPr>
        <w:t>L</w:t>
      </w:r>
      <w:r w:rsidR="003C2583">
        <w:rPr>
          <w:rFonts w:ascii="Palatino Linotype" w:eastAsia="Times New Roman" w:hAnsi="Palatino Linotype" w:cs="Times New Roman"/>
        </w:rPr>
        <w:t>’</w:t>
      </w:r>
      <w:r w:rsidR="00870E3F" w:rsidRPr="003C2583">
        <w:rPr>
          <w:rFonts w:ascii="Palatino Linotype" w:hAnsi="Palatino Linotype"/>
        </w:rPr>
        <w:t>Unité de Coordination des Maladies Infectieuses et Transmissibles (UCMIT) est une entité du MSPP qui assure la coordination des trois programmes nationaux de lutte contre la Tuberculose</w:t>
      </w:r>
      <w:r w:rsidR="005679AA" w:rsidRPr="003C2583">
        <w:rPr>
          <w:rFonts w:ascii="Palatino Linotype" w:hAnsi="Palatino Linotype"/>
        </w:rPr>
        <w:t xml:space="preserve"> (PNLT)</w:t>
      </w:r>
      <w:r w:rsidR="00870E3F" w:rsidRPr="003C2583">
        <w:rPr>
          <w:rFonts w:ascii="Palatino Linotype" w:hAnsi="Palatino Linotype"/>
        </w:rPr>
        <w:t>, le VIH/SIDA</w:t>
      </w:r>
      <w:r w:rsidR="005679AA" w:rsidRPr="003C2583">
        <w:rPr>
          <w:rFonts w:ascii="Palatino Linotype" w:hAnsi="Palatino Linotype"/>
        </w:rPr>
        <w:t xml:space="preserve"> (PNLS)</w:t>
      </w:r>
      <w:r w:rsidR="00870E3F" w:rsidRPr="003C2583">
        <w:rPr>
          <w:rFonts w:ascii="Palatino Linotype" w:hAnsi="Palatino Linotype"/>
        </w:rPr>
        <w:t xml:space="preserve"> et la Malaria</w:t>
      </w:r>
      <w:r w:rsidR="005679AA" w:rsidRPr="003C2583">
        <w:rPr>
          <w:rFonts w:ascii="Palatino Linotype" w:hAnsi="Palatino Linotype"/>
        </w:rPr>
        <w:t xml:space="preserve"> (PNCM)</w:t>
      </w:r>
      <w:r w:rsidR="00870E3F" w:rsidRPr="003C2583">
        <w:rPr>
          <w:rFonts w:ascii="Palatino Linotype" w:hAnsi="Palatino Linotype"/>
        </w:rPr>
        <w:t xml:space="preserve">. Pour permettre à son personnel de travailler dans les conditions optimales, le </w:t>
      </w:r>
      <w:r w:rsidR="005679AA" w:rsidRPr="003C2583">
        <w:rPr>
          <w:rFonts w:ascii="Palatino Linotype" w:hAnsi="Palatino Linotype"/>
        </w:rPr>
        <w:t>B</w:t>
      </w:r>
      <w:r w:rsidR="00870E3F" w:rsidRPr="003C2583">
        <w:rPr>
          <w:rFonts w:ascii="Palatino Linotype" w:hAnsi="Palatino Linotype"/>
        </w:rPr>
        <w:t xml:space="preserve">ureau </w:t>
      </w:r>
      <w:r w:rsidR="005679AA" w:rsidRPr="003C2583">
        <w:rPr>
          <w:rFonts w:ascii="Palatino Linotype" w:hAnsi="Palatino Linotype"/>
        </w:rPr>
        <w:t>C</w:t>
      </w:r>
      <w:r w:rsidR="00870E3F" w:rsidRPr="003C2583">
        <w:rPr>
          <w:rFonts w:ascii="Palatino Linotype" w:hAnsi="Palatino Linotype"/>
        </w:rPr>
        <w:t xml:space="preserve">entral qui héberge la coordination centrale ainsi que les 3 programmes veut se disposer des moyens en vue de faire fonctionner son système de production </w:t>
      </w:r>
      <w:r w:rsidR="005679AA" w:rsidRPr="003C2583">
        <w:rPr>
          <w:rFonts w:ascii="Palatino Linotype" w:hAnsi="Palatino Linotype"/>
        </w:rPr>
        <w:t xml:space="preserve">d’énergie. </w:t>
      </w:r>
    </w:p>
    <w:p w14:paraId="0C3CC206" w14:textId="77777777" w:rsidR="001C3F6C" w:rsidRPr="003C2583" w:rsidRDefault="001C3F6C" w:rsidP="001C3F6C">
      <w:pPr>
        <w:pStyle w:val="NoSpacing"/>
        <w:jc w:val="both"/>
        <w:rPr>
          <w:rFonts w:ascii="Palatino Linotype" w:eastAsia="Times New Roman" w:hAnsi="Palatino Linotype" w:cs="Times New Roman"/>
        </w:rPr>
      </w:pPr>
    </w:p>
    <w:p w14:paraId="0D1F328E" w14:textId="00E0E825" w:rsidR="00D3139A" w:rsidRPr="003C2583" w:rsidRDefault="00D3139A" w:rsidP="00D3139A">
      <w:pPr>
        <w:pStyle w:val="NoSpacing"/>
        <w:jc w:val="both"/>
        <w:rPr>
          <w:rFonts w:ascii="Palatino Linotype" w:hAnsi="Palatino Linotype" w:cs="Arial"/>
          <w:shd w:val="clear" w:color="auto" w:fill="FFFFFF"/>
        </w:rPr>
      </w:pPr>
      <w:r w:rsidRPr="003C2583">
        <w:rPr>
          <w:rFonts w:ascii="Palatino Linotype" w:eastAsia="Times New Roman" w:hAnsi="Palatino Linotype" w:cs="Times New Roman"/>
        </w:rPr>
        <w:t>Depuis</w:t>
      </w:r>
      <w:r w:rsidR="00F70B51" w:rsidRPr="003C2583">
        <w:rPr>
          <w:rFonts w:ascii="Palatino Linotype" w:eastAsia="Times New Roman" w:hAnsi="Palatino Linotype" w:cs="Times New Roman"/>
        </w:rPr>
        <w:t xml:space="preserve"> février 2021, </w:t>
      </w:r>
      <w:r w:rsidRPr="003C2583">
        <w:rPr>
          <w:rFonts w:ascii="Palatino Linotype" w:eastAsia="Times New Roman" w:hAnsi="Palatino Linotype" w:cs="Times New Roman"/>
        </w:rPr>
        <w:t>le pays subit, coup sur coup, les pénuries épisodiques de carburant</w:t>
      </w:r>
      <w:r w:rsidR="00830BCF" w:rsidRPr="003C2583">
        <w:rPr>
          <w:rFonts w:ascii="Palatino Linotype" w:eastAsia="Times New Roman" w:hAnsi="Palatino Linotype" w:cs="Times New Roman"/>
        </w:rPr>
        <w:t xml:space="preserve">. </w:t>
      </w:r>
      <w:r w:rsidRPr="003C2583">
        <w:rPr>
          <w:rFonts w:ascii="Palatino Linotype" w:eastAsia="Times New Roman" w:hAnsi="Palatino Linotype" w:cs="Times New Roman"/>
        </w:rPr>
        <w:t xml:space="preserve">Cette </w:t>
      </w:r>
      <w:r w:rsidR="00830BCF" w:rsidRPr="003C2583">
        <w:rPr>
          <w:rFonts w:ascii="Palatino Linotype" w:eastAsia="Times New Roman" w:hAnsi="Palatino Linotype" w:cs="Times New Roman"/>
        </w:rPr>
        <w:t xml:space="preserve">dernière </w:t>
      </w:r>
      <w:r w:rsidRPr="003C2583">
        <w:rPr>
          <w:rFonts w:ascii="Palatino Linotype" w:eastAsia="Times New Roman" w:hAnsi="Palatino Linotype" w:cs="Times New Roman"/>
        </w:rPr>
        <w:t xml:space="preserve">déjà datée, de plusieurs semaines, a mené au rationnement et à la fermeture de la quasi-totalité des stations d’essence du pays dont les réserves se sont épuisées. Dans les </w:t>
      </w:r>
      <w:r w:rsidRPr="003C2583">
        <w:rPr>
          <w:rFonts w:ascii="Palatino Linotype" w:hAnsi="Palatino Linotype" w:cs="Arial"/>
          <w:shd w:val="clear" w:color="auto" w:fill="FFFFFF"/>
        </w:rPr>
        <w:t xml:space="preserve">quelques rares stations-service qui livrent le précieux </w:t>
      </w:r>
      <w:r w:rsidR="00EB4F70">
        <w:rPr>
          <w:rFonts w:ascii="Palatino Linotype" w:hAnsi="Palatino Linotype" w:cs="Arial"/>
          <w:shd w:val="clear" w:color="auto" w:fill="FFFFFF"/>
        </w:rPr>
        <w:t>produit</w:t>
      </w:r>
      <w:r w:rsidRPr="003C2583">
        <w:rPr>
          <w:rFonts w:ascii="Palatino Linotype" w:hAnsi="Palatino Linotype" w:cs="Arial"/>
          <w:shd w:val="clear" w:color="auto" w:fill="FFFFFF"/>
        </w:rPr>
        <w:t>, c’est le chaos total ; alors que le marché noir fleurit.</w:t>
      </w:r>
    </w:p>
    <w:p w14:paraId="11EC10F6" w14:textId="77777777" w:rsidR="001C3F6C" w:rsidRPr="003C2583" w:rsidRDefault="001C3F6C" w:rsidP="001C3F6C">
      <w:pPr>
        <w:pStyle w:val="NoSpacing"/>
        <w:jc w:val="both"/>
        <w:rPr>
          <w:rFonts w:ascii="Palatino Linotype" w:eastAsia="Times New Roman" w:hAnsi="Palatino Linotype" w:cs="Times New Roman"/>
        </w:rPr>
      </w:pPr>
    </w:p>
    <w:p w14:paraId="37B11DD3" w14:textId="5045F891" w:rsidR="00D300CE" w:rsidRPr="003C2583" w:rsidRDefault="00D300CE" w:rsidP="00D300CE">
      <w:pPr>
        <w:pStyle w:val="NoSpacing"/>
        <w:jc w:val="both"/>
        <w:rPr>
          <w:rFonts w:ascii="Palatino Linotype" w:eastAsia="Times New Roman" w:hAnsi="Palatino Linotype" w:cs="Times New Roman"/>
        </w:rPr>
      </w:pPr>
      <w:r w:rsidRPr="003C2583">
        <w:rPr>
          <w:rFonts w:ascii="Palatino Linotype" w:eastAsia="Times New Roman" w:hAnsi="Palatino Linotype" w:cs="Times New Roman"/>
        </w:rPr>
        <w:t>Maintenant, avec ce problème de carburant, les très rares Institutions qui fonctionnent sont celles qui ont pu s’en procurer à un prix très élevé sur le marché noir ou qui en ont eu des réserves</w:t>
      </w:r>
      <w:r w:rsidR="0070512F">
        <w:rPr>
          <w:rFonts w:ascii="Palatino Linotype" w:eastAsia="Times New Roman" w:hAnsi="Palatino Linotype" w:cs="Times New Roman"/>
        </w:rPr>
        <w:t xml:space="preserve"> stratégiques</w:t>
      </w:r>
      <w:r w:rsidRPr="003C2583">
        <w:rPr>
          <w:rFonts w:ascii="Palatino Linotype" w:eastAsia="Times New Roman" w:hAnsi="Palatino Linotype" w:cs="Times New Roman"/>
        </w:rPr>
        <w:t xml:space="preserve">. Une situation qui complique encore davantage le quotidien. </w:t>
      </w:r>
    </w:p>
    <w:p w14:paraId="0B64EC2A" w14:textId="39C4B50A" w:rsidR="00A43C28" w:rsidRPr="003C2583" w:rsidRDefault="00A43C28" w:rsidP="0091686D">
      <w:pPr>
        <w:pStyle w:val="NoSpacing"/>
        <w:jc w:val="both"/>
        <w:rPr>
          <w:rFonts w:ascii="Palatino Linotype" w:eastAsia="Times New Roman" w:hAnsi="Palatino Linotype" w:cs="Times New Roman"/>
        </w:rPr>
      </w:pPr>
    </w:p>
    <w:p w14:paraId="388A83B0" w14:textId="58BB62BE" w:rsidR="008276AF" w:rsidRDefault="001C3F6C" w:rsidP="00D3139A">
      <w:pPr>
        <w:pStyle w:val="NoSpacing"/>
        <w:jc w:val="both"/>
        <w:rPr>
          <w:rFonts w:ascii="Palatino Linotype" w:hAnsi="Palatino Linotype" w:cs="Arial"/>
        </w:rPr>
      </w:pPr>
      <w:r w:rsidRPr="003C2583">
        <w:rPr>
          <w:rFonts w:ascii="Palatino Linotype" w:hAnsi="Palatino Linotype" w:cs="Arial"/>
        </w:rPr>
        <w:t xml:space="preserve">A cet effet, en vue de </w:t>
      </w:r>
      <w:r w:rsidR="00BB19AB" w:rsidRPr="003C2583">
        <w:rPr>
          <w:rFonts w:ascii="Palatino Linotype" w:hAnsi="Palatino Linotype" w:cs="Arial"/>
        </w:rPr>
        <w:t xml:space="preserve">pallier </w:t>
      </w:r>
      <w:r w:rsidRPr="003C2583">
        <w:rPr>
          <w:rFonts w:ascii="Palatino Linotype" w:hAnsi="Palatino Linotype" w:cs="Arial"/>
        </w:rPr>
        <w:t>l’urgence</w:t>
      </w:r>
      <w:r w:rsidR="00A43C28" w:rsidRPr="003C2583">
        <w:rPr>
          <w:rFonts w:ascii="Palatino Linotype" w:hAnsi="Palatino Linotype" w:cs="Arial"/>
        </w:rPr>
        <w:t xml:space="preserve"> de</w:t>
      </w:r>
      <w:r w:rsidR="00C931C2" w:rsidRPr="003C2583">
        <w:rPr>
          <w:rFonts w:ascii="Palatino Linotype" w:hAnsi="Palatino Linotype" w:cs="Arial"/>
        </w:rPr>
        <w:t xml:space="preserve"> ces </w:t>
      </w:r>
      <w:r w:rsidR="0091686D" w:rsidRPr="003C2583">
        <w:rPr>
          <w:rFonts w:ascii="Palatino Linotype" w:hAnsi="Palatino Linotype" w:cs="Arial"/>
        </w:rPr>
        <w:t>inconvénients</w:t>
      </w:r>
      <w:r w:rsidR="00A43C28" w:rsidRPr="003C2583">
        <w:rPr>
          <w:rFonts w:ascii="Palatino Linotype" w:hAnsi="Palatino Linotype" w:cs="Arial"/>
        </w:rPr>
        <w:t xml:space="preserve"> qui surviennent périodiquement</w:t>
      </w:r>
      <w:r w:rsidR="0091686D" w:rsidRPr="003C2583">
        <w:rPr>
          <w:rFonts w:ascii="Palatino Linotype" w:hAnsi="Palatino Linotype" w:cs="Arial"/>
        </w:rPr>
        <w:t xml:space="preserve">, </w:t>
      </w:r>
      <w:r w:rsidR="00F657B7" w:rsidRPr="003C2583">
        <w:rPr>
          <w:rFonts w:ascii="Palatino Linotype" w:hAnsi="Palatino Linotype" w:cs="Arial"/>
        </w:rPr>
        <w:t>l’installation</w:t>
      </w:r>
      <w:r w:rsidR="00B64C44" w:rsidRPr="003C2583">
        <w:rPr>
          <w:rFonts w:ascii="Palatino Linotype" w:hAnsi="Palatino Linotype" w:cs="Arial"/>
        </w:rPr>
        <w:t xml:space="preserve"> d’un</w:t>
      </w:r>
      <w:r w:rsidR="00D441D1" w:rsidRPr="003C2583">
        <w:rPr>
          <w:rFonts w:ascii="Palatino Linotype" w:hAnsi="Palatino Linotype" w:cs="Arial"/>
        </w:rPr>
        <w:t xml:space="preserve"> rés</w:t>
      </w:r>
      <w:r w:rsidR="00B64C44" w:rsidRPr="003C2583">
        <w:rPr>
          <w:rFonts w:ascii="Palatino Linotype" w:hAnsi="Palatino Linotype" w:cs="Arial"/>
        </w:rPr>
        <w:t>e</w:t>
      </w:r>
      <w:r w:rsidR="00D441D1" w:rsidRPr="003C2583">
        <w:rPr>
          <w:rFonts w:ascii="Palatino Linotype" w:hAnsi="Palatino Linotype" w:cs="Arial"/>
        </w:rPr>
        <w:t>rvoir s</w:t>
      </w:r>
      <w:r w:rsidR="00B64C44" w:rsidRPr="003C2583">
        <w:rPr>
          <w:rFonts w:ascii="Palatino Linotype" w:hAnsi="Palatino Linotype" w:cs="Arial"/>
        </w:rPr>
        <w:t>upplémentaire représente une solution optimale permett</w:t>
      </w:r>
      <w:r w:rsidR="00693B79" w:rsidRPr="003C2583">
        <w:rPr>
          <w:rFonts w:ascii="Palatino Linotype" w:hAnsi="Palatino Linotype" w:cs="Arial"/>
        </w:rPr>
        <w:t xml:space="preserve">ant </w:t>
      </w:r>
      <w:r w:rsidR="00B64C44" w:rsidRPr="003C2583">
        <w:rPr>
          <w:rFonts w:ascii="Palatino Linotype" w:hAnsi="Palatino Linotype" w:cs="Arial"/>
        </w:rPr>
        <w:t>de</w:t>
      </w:r>
      <w:r w:rsidR="00B64C44">
        <w:rPr>
          <w:rFonts w:ascii="Palatino Linotype" w:hAnsi="Palatino Linotype" w:cs="Arial"/>
        </w:rPr>
        <w:t xml:space="preserve"> stocker du carburant </w:t>
      </w:r>
      <w:r w:rsidR="00693B79">
        <w:rPr>
          <w:rFonts w:ascii="Palatino Linotype" w:hAnsi="Palatino Linotype" w:cs="Arial"/>
        </w:rPr>
        <w:t xml:space="preserve">devant </w:t>
      </w:r>
      <w:r w:rsidR="00E8340D">
        <w:rPr>
          <w:rFonts w:ascii="Palatino Linotype" w:hAnsi="Palatino Linotype" w:cs="Arial"/>
        </w:rPr>
        <w:t xml:space="preserve">faciliter </w:t>
      </w:r>
      <w:r w:rsidR="00693B79" w:rsidRPr="00C501FA">
        <w:rPr>
          <w:rFonts w:ascii="Palatino Linotype" w:hAnsi="Palatino Linotype" w:cs="Arial"/>
        </w:rPr>
        <w:t>l’UCMIT</w:t>
      </w:r>
      <w:r w:rsidR="0025200C" w:rsidRPr="00C501FA">
        <w:rPr>
          <w:rFonts w:ascii="Palatino Linotype" w:hAnsi="Palatino Linotype" w:cs="Arial"/>
        </w:rPr>
        <w:t xml:space="preserve"> à</w:t>
      </w:r>
      <w:r w:rsidR="00F657B7" w:rsidRPr="00C501FA">
        <w:rPr>
          <w:rFonts w:ascii="Palatino Linotype" w:hAnsi="Palatino Linotype" w:cs="Arial"/>
        </w:rPr>
        <w:t xml:space="preserve"> s</w:t>
      </w:r>
      <w:r w:rsidR="00C501FA" w:rsidRPr="00C501FA">
        <w:rPr>
          <w:rFonts w:ascii="Palatino Linotype" w:hAnsi="Palatino Linotype" w:cs="Arial"/>
        </w:rPr>
        <w:t>’</w:t>
      </w:r>
      <w:r w:rsidR="0025200C" w:rsidRPr="00C501FA">
        <w:rPr>
          <w:rFonts w:ascii="Palatino Linotype" w:hAnsi="Palatino Linotype" w:cs="Arial"/>
        </w:rPr>
        <w:t>avitailler</w:t>
      </w:r>
      <w:r w:rsidR="00693B79" w:rsidRPr="00C501FA">
        <w:rPr>
          <w:rFonts w:ascii="Palatino Linotype" w:hAnsi="Palatino Linotype" w:cs="Arial"/>
        </w:rPr>
        <w:t xml:space="preserve"> </w:t>
      </w:r>
      <w:r w:rsidR="00C501FA">
        <w:rPr>
          <w:rFonts w:ascii="Palatino Linotype" w:hAnsi="Palatino Linotype" w:cs="Arial"/>
        </w:rPr>
        <w:t>e</w:t>
      </w:r>
      <w:r w:rsidR="00693B79">
        <w:rPr>
          <w:rFonts w:ascii="Palatino Linotype" w:hAnsi="Palatino Linotype" w:cs="Arial"/>
        </w:rPr>
        <w:t>n ces périodes de crise</w:t>
      </w:r>
      <w:r w:rsidR="008276AF">
        <w:rPr>
          <w:rFonts w:ascii="Palatino Linotype" w:hAnsi="Palatino Linotype" w:cs="Arial"/>
        </w:rPr>
        <w:t xml:space="preserve"> à répétition. Le type de réservoir à envisager doit prendre en compte </w:t>
      </w:r>
      <w:r w:rsidR="0025200C">
        <w:rPr>
          <w:rFonts w:ascii="Palatino Linotype" w:hAnsi="Palatino Linotype" w:cs="Arial"/>
        </w:rPr>
        <w:t>les conditions de sécurité opérationnelle et environnementale</w:t>
      </w:r>
      <w:r w:rsidR="00BD6706">
        <w:rPr>
          <w:rFonts w:ascii="Palatino Linotype" w:hAnsi="Palatino Linotype" w:cs="Arial"/>
        </w:rPr>
        <w:t>.</w:t>
      </w:r>
    </w:p>
    <w:p w14:paraId="2C3BF7CA" w14:textId="77777777" w:rsidR="008276AF" w:rsidRDefault="008276AF" w:rsidP="00D3139A">
      <w:pPr>
        <w:pStyle w:val="NoSpacing"/>
        <w:jc w:val="both"/>
        <w:rPr>
          <w:rFonts w:ascii="Palatino Linotype" w:hAnsi="Palatino Linotype" w:cs="Arial"/>
        </w:rPr>
      </w:pPr>
    </w:p>
    <w:p w14:paraId="19F24D99" w14:textId="77777777" w:rsidR="00D3139A" w:rsidRPr="000D4420" w:rsidRDefault="00D3139A" w:rsidP="00D3139A">
      <w:pPr>
        <w:pStyle w:val="NoSpacing"/>
        <w:numPr>
          <w:ilvl w:val="0"/>
          <w:numId w:val="1"/>
        </w:numPr>
        <w:jc w:val="both"/>
        <w:rPr>
          <w:rFonts w:ascii="Palatino Linotype" w:hAnsi="Palatino Linotype"/>
          <w:b/>
          <w:bCs/>
        </w:rPr>
      </w:pPr>
      <w:r w:rsidRPr="000D4420">
        <w:rPr>
          <w:rFonts w:ascii="Palatino Linotype" w:hAnsi="Palatino Linotype"/>
          <w:b/>
          <w:bCs/>
        </w:rPr>
        <w:t>Description Technique des Matériels :</w:t>
      </w:r>
    </w:p>
    <w:p w14:paraId="7F52F89A" w14:textId="6C66FB5B" w:rsidR="008D073A" w:rsidRPr="00A65E77" w:rsidRDefault="008D073A" w:rsidP="00D3139A">
      <w:pPr>
        <w:pStyle w:val="NoSpacing"/>
        <w:numPr>
          <w:ilvl w:val="0"/>
          <w:numId w:val="2"/>
        </w:numPr>
        <w:jc w:val="both"/>
        <w:rPr>
          <w:rFonts w:ascii="Palatino Linotype" w:hAnsi="Palatino Linotype"/>
        </w:rPr>
      </w:pPr>
      <w:r w:rsidRPr="00A65E77">
        <w:rPr>
          <w:rFonts w:ascii="Palatino Linotype" w:hAnsi="Palatino Linotype"/>
        </w:rPr>
        <w:t>Type de cuve : Cuve pour Stockage fixe de grande capacité</w:t>
      </w:r>
    </w:p>
    <w:p w14:paraId="7F97A5BE" w14:textId="664BA703" w:rsidR="00D3139A" w:rsidRPr="00A65E77" w:rsidRDefault="00D3139A" w:rsidP="00D3139A">
      <w:pPr>
        <w:pStyle w:val="NoSpacing"/>
        <w:numPr>
          <w:ilvl w:val="0"/>
          <w:numId w:val="2"/>
        </w:numPr>
        <w:jc w:val="both"/>
        <w:rPr>
          <w:rFonts w:ascii="Palatino Linotype" w:hAnsi="Palatino Linotype"/>
        </w:rPr>
      </w:pPr>
      <w:r w:rsidRPr="00A65E77">
        <w:rPr>
          <w:rFonts w:ascii="Palatino Linotype" w:hAnsi="Palatino Linotype"/>
        </w:rPr>
        <w:t xml:space="preserve">Contenance : </w:t>
      </w:r>
      <w:r w:rsidRPr="00A65E77">
        <w:rPr>
          <w:rFonts w:ascii="Palatino Linotype" w:hAnsi="Palatino Linotype"/>
          <w:bCs/>
        </w:rPr>
        <w:t>12.000 litres</w:t>
      </w:r>
    </w:p>
    <w:p w14:paraId="77BE6EF1" w14:textId="77777777" w:rsidR="00D3139A" w:rsidRPr="00A65E77" w:rsidRDefault="00D3139A" w:rsidP="00D3139A">
      <w:pPr>
        <w:pStyle w:val="NoSpacing"/>
        <w:numPr>
          <w:ilvl w:val="0"/>
          <w:numId w:val="2"/>
        </w:numPr>
        <w:jc w:val="both"/>
        <w:rPr>
          <w:rFonts w:ascii="Palatino Linotype" w:hAnsi="Palatino Linotype"/>
        </w:rPr>
      </w:pPr>
      <w:r w:rsidRPr="00A65E77">
        <w:rPr>
          <w:rFonts w:ascii="Palatino Linotype" w:hAnsi="Palatino Linotype"/>
        </w:rPr>
        <w:t xml:space="preserve">Pompe : </w:t>
      </w:r>
      <w:r w:rsidRPr="00A65E77">
        <w:rPr>
          <w:rFonts w:ascii="Palatino Linotype" w:hAnsi="Palatino Linotype"/>
          <w:bCs/>
        </w:rPr>
        <w:t>230 V avec un débit de 50 à 70 l/mn</w:t>
      </w:r>
    </w:p>
    <w:p w14:paraId="5FB31CBE" w14:textId="77777777" w:rsidR="00D3139A" w:rsidRPr="00A65E77" w:rsidRDefault="00D3139A" w:rsidP="00D3139A">
      <w:pPr>
        <w:pStyle w:val="NoSpacing"/>
        <w:numPr>
          <w:ilvl w:val="0"/>
          <w:numId w:val="2"/>
        </w:numPr>
        <w:jc w:val="both"/>
        <w:rPr>
          <w:rFonts w:ascii="Palatino Linotype" w:hAnsi="Palatino Linotype"/>
        </w:rPr>
      </w:pPr>
      <w:r w:rsidRPr="00A65E77">
        <w:rPr>
          <w:rFonts w:ascii="Palatino Linotype" w:hAnsi="Palatino Linotype"/>
        </w:rPr>
        <w:t xml:space="preserve">Stockage : </w:t>
      </w:r>
      <w:r w:rsidRPr="00A65E77">
        <w:rPr>
          <w:rFonts w:ascii="Palatino Linotype" w:hAnsi="Palatino Linotype"/>
          <w:bCs/>
        </w:rPr>
        <w:t>Intérieur / Extérieur</w:t>
      </w:r>
    </w:p>
    <w:p w14:paraId="75629557" w14:textId="77777777" w:rsidR="00D3139A" w:rsidRPr="00A65E77" w:rsidRDefault="00D3139A" w:rsidP="00D3139A">
      <w:pPr>
        <w:pStyle w:val="NoSpacing"/>
        <w:numPr>
          <w:ilvl w:val="0"/>
          <w:numId w:val="2"/>
        </w:numPr>
        <w:jc w:val="both"/>
        <w:rPr>
          <w:rFonts w:ascii="Palatino Linotype" w:hAnsi="Palatino Linotype"/>
          <w:bCs/>
        </w:rPr>
      </w:pPr>
      <w:r w:rsidRPr="00A65E77">
        <w:rPr>
          <w:rFonts w:ascii="Palatino Linotype" w:hAnsi="Palatino Linotype"/>
        </w:rPr>
        <w:t xml:space="preserve">Matière de la Cuve : </w:t>
      </w:r>
      <w:r w:rsidRPr="00A65E77">
        <w:rPr>
          <w:rFonts w:ascii="Palatino Linotype" w:hAnsi="Palatino Linotype"/>
          <w:bCs/>
        </w:rPr>
        <w:t>Acier au Carbone (Très robuste)</w:t>
      </w:r>
    </w:p>
    <w:p w14:paraId="62080F28" w14:textId="196D6851" w:rsidR="00D3139A" w:rsidRPr="00A65E77" w:rsidRDefault="00D3139A" w:rsidP="00D3139A">
      <w:pPr>
        <w:pStyle w:val="NoSpacing"/>
        <w:numPr>
          <w:ilvl w:val="0"/>
          <w:numId w:val="2"/>
        </w:numPr>
        <w:jc w:val="both"/>
        <w:rPr>
          <w:rFonts w:ascii="Palatino Linotype" w:hAnsi="Palatino Linotype"/>
        </w:rPr>
      </w:pPr>
      <w:r w:rsidRPr="00A65E77">
        <w:rPr>
          <w:rFonts w:ascii="Palatino Linotype" w:hAnsi="Palatino Linotype"/>
        </w:rPr>
        <w:t xml:space="preserve">Pistolet : </w:t>
      </w:r>
      <w:r w:rsidRPr="00A65E77">
        <w:rPr>
          <w:rFonts w:ascii="Palatino Linotype" w:hAnsi="Palatino Linotype"/>
          <w:bCs/>
        </w:rPr>
        <w:t>Automatique</w:t>
      </w:r>
      <w:r w:rsidR="00ED3368" w:rsidRPr="00A65E77">
        <w:rPr>
          <w:rFonts w:ascii="Palatino Linotype" w:hAnsi="Palatino Linotype"/>
          <w:bCs/>
        </w:rPr>
        <w:t xml:space="preserve"> </w:t>
      </w:r>
      <w:r w:rsidR="00ED3368" w:rsidRPr="00A65E77">
        <w:rPr>
          <w:rFonts w:ascii="Palatino Linotype" w:eastAsia="Times New Roman" w:hAnsi="Palatino Linotype" w:cs="Arial"/>
          <w:lang w:eastAsia="fr-FR"/>
        </w:rPr>
        <w:t>pour détecter quand le réservoir des engins ou véhicules soient plein et s'arrête automatiquement.</w:t>
      </w:r>
    </w:p>
    <w:p w14:paraId="099FF09D" w14:textId="77777777" w:rsidR="00783669" w:rsidRPr="00A65E77" w:rsidRDefault="00783669" w:rsidP="00783669">
      <w:pPr>
        <w:pStyle w:val="NoSpacing"/>
        <w:numPr>
          <w:ilvl w:val="0"/>
          <w:numId w:val="2"/>
        </w:numPr>
        <w:jc w:val="both"/>
        <w:rPr>
          <w:rFonts w:ascii="Palatino Linotype" w:hAnsi="Palatino Linotype" w:cs="Times New Roman"/>
          <w:lang w:eastAsia="ja-JP"/>
        </w:rPr>
      </w:pPr>
      <w:r w:rsidRPr="00A65E77">
        <w:rPr>
          <w:rFonts w:ascii="Palatino Linotype" w:hAnsi="Palatino Linotype" w:cs="Times New Roman"/>
          <w:lang w:eastAsia="ja-JP"/>
        </w:rPr>
        <w:lastRenderedPageBreak/>
        <w:t>Une flexible d’une longueur de 4 mètres</w:t>
      </w:r>
    </w:p>
    <w:p w14:paraId="6A3A68BD" w14:textId="77777777" w:rsidR="00D3139A" w:rsidRPr="00A65E77" w:rsidRDefault="00D3139A" w:rsidP="00D3139A">
      <w:pPr>
        <w:pStyle w:val="NoSpacing"/>
        <w:numPr>
          <w:ilvl w:val="0"/>
          <w:numId w:val="2"/>
        </w:numPr>
        <w:jc w:val="both"/>
        <w:rPr>
          <w:rFonts w:ascii="Palatino Linotype" w:hAnsi="Palatino Linotype"/>
        </w:rPr>
      </w:pPr>
      <w:r w:rsidRPr="00A65E77">
        <w:rPr>
          <w:rFonts w:ascii="Palatino Linotype" w:hAnsi="Palatino Linotype"/>
        </w:rPr>
        <w:t>Types de carburant compatibles :</w:t>
      </w:r>
      <w:r w:rsidRPr="00A65E77">
        <w:rPr>
          <w:rFonts w:ascii="Palatino Linotype" w:hAnsi="Palatino Linotype"/>
          <w:bCs/>
        </w:rPr>
        <w:t xml:space="preserve"> Gasoil</w:t>
      </w:r>
    </w:p>
    <w:p w14:paraId="5DD11A7C" w14:textId="7E5E597C" w:rsidR="00D3139A" w:rsidRPr="00A65E77" w:rsidRDefault="00D3139A" w:rsidP="00D3139A">
      <w:pPr>
        <w:pStyle w:val="NoSpacing"/>
        <w:numPr>
          <w:ilvl w:val="0"/>
          <w:numId w:val="2"/>
        </w:numPr>
        <w:jc w:val="both"/>
        <w:rPr>
          <w:rFonts w:ascii="Palatino Linotype" w:hAnsi="Palatino Linotype"/>
        </w:rPr>
      </w:pPr>
      <w:r w:rsidRPr="00A65E77">
        <w:rPr>
          <w:rFonts w:ascii="Palatino Linotype" w:hAnsi="Palatino Linotype"/>
        </w:rPr>
        <w:t xml:space="preserve">Compteur : </w:t>
      </w:r>
      <w:r w:rsidR="00A65E77" w:rsidRPr="00A65E77">
        <w:rPr>
          <w:rFonts w:ascii="Palatino Linotype" w:hAnsi="Palatino Linotype"/>
          <w:bCs/>
        </w:rPr>
        <w:t>Digital qui</w:t>
      </w:r>
      <w:r w:rsidR="00A8252D" w:rsidRPr="00A65E77">
        <w:rPr>
          <w:rFonts w:ascii="Palatino Linotype" w:eastAsia="Times New Roman" w:hAnsi="Palatino Linotype" w:cs="Arial"/>
          <w:lang w:eastAsia="fr-FR"/>
        </w:rPr>
        <w:t xml:space="preserve"> permet de suivre en détail la quantité retirée du conteneur</w:t>
      </w:r>
    </w:p>
    <w:p w14:paraId="7994C1BA" w14:textId="7A1A23DA" w:rsidR="00ED3368" w:rsidRPr="00A65E77" w:rsidRDefault="00ED3368" w:rsidP="00ED3368">
      <w:pPr>
        <w:pStyle w:val="NoSpacing"/>
        <w:numPr>
          <w:ilvl w:val="0"/>
          <w:numId w:val="2"/>
        </w:numPr>
        <w:jc w:val="both"/>
        <w:rPr>
          <w:rFonts w:ascii="Palatino Linotype" w:hAnsi="Palatino Linotype" w:cs="Times New Roman"/>
          <w:lang w:eastAsia="ja-JP"/>
        </w:rPr>
      </w:pPr>
      <w:r w:rsidRPr="00A65E77">
        <w:rPr>
          <w:rFonts w:ascii="Palatino Linotype" w:eastAsia="Times New Roman" w:hAnsi="Palatino Linotype" w:cs="Arial"/>
          <w:lang w:eastAsia="fr-FR"/>
        </w:rPr>
        <w:t>Tout l’équipement doit être protégé par une armoire solide et verrouillable pour protéger le pistolet, la pompe et le compteur contre les intempéries et les vols.</w:t>
      </w:r>
    </w:p>
    <w:p w14:paraId="145ABBF1" w14:textId="77777777" w:rsidR="00D3139A" w:rsidRPr="00A65E77" w:rsidRDefault="00D3139A" w:rsidP="00D3139A">
      <w:pPr>
        <w:pStyle w:val="NoSpacing"/>
        <w:jc w:val="both"/>
        <w:rPr>
          <w:rFonts w:ascii="Palatino Linotype" w:hAnsi="Palatino Linotype"/>
        </w:rPr>
      </w:pPr>
    </w:p>
    <w:p w14:paraId="4253A061" w14:textId="65FF640A" w:rsidR="00A00987" w:rsidRPr="003F6ECA" w:rsidRDefault="00A00987" w:rsidP="00D3139A">
      <w:pPr>
        <w:pStyle w:val="NoSpacing"/>
        <w:numPr>
          <w:ilvl w:val="0"/>
          <w:numId w:val="1"/>
        </w:numPr>
        <w:tabs>
          <w:tab w:val="left" w:pos="810"/>
        </w:tabs>
        <w:jc w:val="both"/>
        <w:rPr>
          <w:rFonts w:ascii="Palatino Linotype" w:hAnsi="Palatino Linotype"/>
          <w:b/>
          <w:bCs/>
        </w:rPr>
      </w:pPr>
      <w:bookmarkStart w:id="0" w:name="_Hlk111020442"/>
      <w:r w:rsidRPr="003F6ECA">
        <w:rPr>
          <w:rFonts w:ascii="Palatino Linotype" w:hAnsi="Palatino Linotype"/>
          <w:b/>
          <w:bCs/>
        </w:rPr>
        <w:t>Spé</w:t>
      </w:r>
      <w:r w:rsidR="003F6ECA" w:rsidRPr="003F6ECA">
        <w:rPr>
          <w:rFonts w:ascii="Palatino Linotype" w:hAnsi="Palatino Linotype"/>
          <w:b/>
          <w:bCs/>
        </w:rPr>
        <w:t>cifications :</w:t>
      </w:r>
    </w:p>
    <w:p w14:paraId="2F8B41D9" w14:textId="77777777" w:rsidR="00A00987" w:rsidRPr="00537662" w:rsidRDefault="00A00987" w:rsidP="00BE09BF">
      <w:pPr>
        <w:spacing w:after="0" w:line="300" w:lineRule="atLeast"/>
        <w:jc w:val="both"/>
        <w:rPr>
          <w:rFonts w:ascii="Palatino Linotype" w:eastAsia="Times New Roman" w:hAnsi="Palatino Linotype" w:cs="Arial"/>
          <w:lang w:val="fr-FR" w:eastAsia="fr-FR"/>
        </w:rPr>
      </w:pPr>
      <w:r w:rsidRPr="00537662">
        <w:rPr>
          <w:rFonts w:ascii="Palatino Linotype" w:eastAsia="Times New Roman" w:hAnsi="Palatino Linotype" w:cs="Arial"/>
          <w:lang w:val="fr-FR" w:eastAsia="fr-FR"/>
        </w:rPr>
        <w:t>Réservoirs homologués cylindriques à axe horizontal, conçu et fabriqués conformément à la norme UNI EN 12285-2, réalisés avec des tôles calandrées et des fonds bombés en acier au carbone de type S235JR UNI EN 10025 par procédé de soudage à l'arc immergé, certifié selon la norme UNI EN 288 et soutenus par des selles d'appui structurelles.</w:t>
      </w:r>
    </w:p>
    <w:p w14:paraId="0C69EAAA" w14:textId="77777777" w:rsidR="00A00987" w:rsidRPr="00537662" w:rsidRDefault="00A00987" w:rsidP="00BE09BF">
      <w:pPr>
        <w:pStyle w:val="ListParagraph"/>
        <w:numPr>
          <w:ilvl w:val="0"/>
          <w:numId w:val="8"/>
        </w:numPr>
        <w:spacing w:line="300" w:lineRule="atLeast"/>
        <w:jc w:val="both"/>
        <w:rPr>
          <w:rFonts w:ascii="Palatino Linotype" w:eastAsia="Times New Roman" w:hAnsi="Palatino Linotype" w:cs="Arial"/>
          <w:lang w:val="fr-FR" w:eastAsia="fr-FR"/>
        </w:rPr>
      </w:pPr>
      <w:r w:rsidRPr="00537662">
        <w:rPr>
          <w:rFonts w:ascii="Palatino Linotype" w:eastAsia="Times New Roman" w:hAnsi="Palatino Linotype" w:cs="Arial"/>
          <w:lang w:val="fr-FR" w:eastAsia="fr-FR"/>
        </w:rPr>
        <w:t>Traitement extérieur de sablage, une couche de primer et peinture pour finir avec une couche de vernis.</w:t>
      </w:r>
    </w:p>
    <w:p w14:paraId="72F667EE" w14:textId="527F2E2D" w:rsidR="00A00987" w:rsidRPr="00537662" w:rsidRDefault="00A00987" w:rsidP="00BE09BF">
      <w:pPr>
        <w:pStyle w:val="ListParagraph"/>
        <w:numPr>
          <w:ilvl w:val="0"/>
          <w:numId w:val="8"/>
        </w:numPr>
        <w:spacing w:line="300" w:lineRule="atLeast"/>
        <w:jc w:val="both"/>
        <w:rPr>
          <w:rFonts w:ascii="Palatino Linotype" w:eastAsia="Times New Roman" w:hAnsi="Palatino Linotype" w:cs="Arial"/>
          <w:lang w:val="fr-FR" w:eastAsia="fr-FR"/>
        </w:rPr>
      </w:pPr>
      <w:r w:rsidRPr="00537662">
        <w:rPr>
          <w:rFonts w:ascii="Palatino Linotype" w:eastAsia="Times New Roman" w:hAnsi="Palatino Linotype" w:cs="Arial"/>
          <w:lang w:val="fr-FR" w:eastAsia="fr-FR"/>
        </w:rPr>
        <w:t>Trou d'homme : 600 mm doté d'un joint et couvercle boulonné</w:t>
      </w:r>
      <w:r w:rsidR="008C0EBE" w:rsidRPr="00537662">
        <w:rPr>
          <w:rFonts w:ascii="Palatino Linotype" w:eastAsia="Times New Roman" w:hAnsi="Palatino Linotype" w:cs="Arial"/>
          <w:lang w:val="fr-FR" w:eastAsia="fr-FR"/>
        </w:rPr>
        <w:t xml:space="preserve"> pour pouvoir vider la cuve afin de la nettoyer et d'assurer un entretien complet et </w:t>
      </w:r>
      <w:r w:rsidR="00A65E77" w:rsidRPr="00537662">
        <w:rPr>
          <w:rFonts w:ascii="Palatino Linotype" w:eastAsia="Times New Roman" w:hAnsi="Palatino Linotype" w:cs="Arial"/>
          <w:lang w:val="fr-FR" w:eastAsia="fr-FR"/>
        </w:rPr>
        <w:t>durable.</w:t>
      </w:r>
    </w:p>
    <w:p w14:paraId="53BC5D31" w14:textId="0084015F" w:rsidR="008C0EBE" w:rsidRPr="00537662" w:rsidRDefault="008C0EBE" w:rsidP="008C0EBE">
      <w:pPr>
        <w:pStyle w:val="ListParagraph"/>
        <w:numPr>
          <w:ilvl w:val="0"/>
          <w:numId w:val="8"/>
        </w:numPr>
        <w:spacing w:line="300" w:lineRule="atLeast"/>
        <w:jc w:val="both"/>
        <w:rPr>
          <w:rFonts w:ascii="Palatino Linotype" w:eastAsia="Times New Roman" w:hAnsi="Palatino Linotype" w:cs="Arial"/>
          <w:lang w:val="fr-FR" w:eastAsia="fr-FR"/>
        </w:rPr>
      </w:pPr>
      <w:r w:rsidRPr="00537662">
        <w:rPr>
          <w:rFonts w:ascii="Palatino Linotype" w:eastAsia="Times New Roman" w:hAnsi="Palatino Linotype" w:cs="Arial"/>
          <w:lang w:val="fr-FR" w:eastAsia="fr-FR"/>
        </w:rPr>
        <w:t xml:space="preserve">Une échelle </w:t>
      </w:r>
      <w:r w:rsidR="00783669" w:rsidRPr="00537662">
        <w:rPr>
          <w:rFonts w:ascii="Palatino Linotype" w:eastAsia="Times New Roman" w:hAnsi="Palatino Linotype" w:cs="Arial"/>
          <w:lang w:val="fr-FR" w:eastAsia="fr-FR"/>
        </w:rPr>
        <w:t xml:space="preserve">permettant </w:t>
      </w:r>
      <w:r w:rsidRPr="00537662">
        <w:rPr>
          <w:rFonts w:ascii="Palatino Linotype" w:eastAsia="Times New Roman" w:hAnsi="Palatino Linotype" w:cs="Arial"/>
          <w:lang w:val="fr-FR" w:eastAsia="fr-FR"/>
        </w:rPr>
        <w:t xml:space="preserve">d'accéder sur la cuve pour faciliter sa maintenance et son entretien. </w:t>
      </w:r>
    </w:p>
    <w:p w14:paraId="71FE015B" w14:textId="77777777" w:rsidR="00A00987" w:rsidRPr="00537662" w:rsidRDefault="00A00987" w:rsidP="00BE09BF">
      <w:pPr>
        <w:pStyle w:val="ListParagraph"/>
        <w:numPr>
          <w:ilvl w:val="0"/>
          <w:numId w:val="8"/>
        </w:numPr>
        <w:spacing w:line="300" w:lineRule="atLeast"/>
        <w:jc w:val="both"/>
        <w:rPr>
          <w:rFonts w:ascii="Palatino Linotype" w:eastAsia="Times New Roman" w:hAnsi="Palatino Linotype" w:cs="Arial"/>
          <w:lang w:val="fr-FR" w:eastAsia="fr-FR"/>
        </w:rPr>
      </w:pPr>
      <w:r w:rsidRPr="00537662">
        <w:rPr>
          <w:rFonts w:ascii="Palatino Linotype" w:eastAsia="Times New Roman" w:hAnsi="Palatino Linotype" w:cs="Arial"/>
          <w:lang w:val="fr-FR" w:eastAsia="fr-FR"/>
        </w:rPr>
        <w:t>Raccord de remplissage avec bouchon rapide verrouillable et soupape limitatrice de remplissage homologuée.</w:t>
      </w:r>
    </w:p>
    <w:p w14:paraId="3886EF7A" w14:textId="77777777" w:rsidR="00A00987" w:rsidRPr="00537662" w:rsidRDefault="00A00987" w:rsidP="00BE09BF">
      <w:pPr>
        <w:pStyle w:val="ListParagraph"/>
        <w:numPr>
          <w:ilvl w:val="0"/>
          <w:numId w:val="8"/>
        </w:numPr>
        <w:spacing w:line="300" w:lineRule="atLeast"/>
        <w:jc w:val="both"/>
        <w:rPr>
          <w:rFonts w:ascii="Palatino Linotype" w:eastAsia="Times New Roman" w:hAnsi="Palatino Linotype" w:cs="Arial"/>
          <w:lang w:val="fr-FR" w:eastAsia="fr-FR"/>
        </w:rPr>
      </w:pPr>
      <w:r w:rsidRPr="00537662">
        <w:rPr>
          <w:rFonts w:ascii="Palatino Linotype" w:eastAsia="Times New Roman" w:hAnsi="Palatino Linotype" w:cs="Arial"/>
          <w:lang w:val="fr-FR" w:eastAsia="fr-FR"/>
        </w:rPr>
        <w:t>Vanne de purge avec terminal coupe-flamme.</w:t>
      </w:r>
    </w:p>
    <w:p w14:paraId="2B9DF90F" w14:textId="77777777" w:rsidR="00A00987" w:rsidRPr="00537662" w:rsidRDefault="00A00987" w:rsidP="00BE09BF">
      <w:pPr>
        <w:pStyle w:val="ListParagraph"/>
        <w:numPr>
          <w:ilvl w:val="0"/>
          <w:numId w:val="8"/>
        </w:numPr>
        <w:spacing w:line="300" w:lineRule="atLeast"/>
        <w:jc w:val="both"/>
        <w:rPr>
          <w:rFonts w:ascii="Palatino Linotype" w:eastAsia="Times New Roman" w:hAnsi="Palatino Linotype" w:cs="Arial"/>
          <w:lang w:val="fr-FR" w:eastAsia="fr-FR"/>
        </w:rPr>
      </w:pPr>
      <w:r w:rsidRPr="00537662">
        <w:rPr>
          <w:rFonts w:ascii="Palatino Linotype" w:eastAsia="Times New Roman" w:hAnsi="Palatino Linotype" w:cs="Arial"/>
          <w:lang w:val="fr-FR" w:eastAsia="fr-FR"/>
        </w:rPr>
        <w:t>Ligne d'aspiration pourvue d'une vanne de fond et d'un filtre.</w:t>
      </w:r>
    </w:p>
    <w:p w14:paraId="666870D7" w14:textId="7C500414" w:rsidR="00A00987" w:rsidRPr="00537662" w:rsidRDefault="00A00987" w:rsidP="00BE09BF">
      <w:pPr>
        <w:pStyle w:val="ListParagraph"/>
        <w:numPr>
          <w:ilvl w:val="0"/>
          <w:numId w:val="8"/>
        </w:numPr>
        <w:spacing w:line="300" w:lineRule="atLeast"/>
        <w:jc w:val="both"/>
        <w:rPr>
          <w:rFonts w:ascii="Palatino Linotype" w:eastAsia="Times New Roman" w:hAnsi="Palatino Linotype" w:cs="Arial"/>
          <w:lang w:val="fr-FR" w:eastAsia="fr-FR"/>
        </w:rPr>
      </w:pPr>
      <w:r w:rsidRPr="00537662">
        <w:rPr>
          <w:rFonts w:ascii="Palatino Linotype" w:eastAsia="Times New Roman" w:hAnsi="Palatino Linotype" w:cs="Arial"/>
          <w:lang w:val="fr-FR" w:eastAsia="fr-FR"/>
        </w:rPr>
        <w:t>Tige métrique en aluminium pour déterminer le niveau de carburant.</w:t>
      </w:r>
    </w:p>
    <w:p w14:paraId="47BFCD9D" w14:textId="77777777" w:rsidR="00E176ED" w:rsidRPr="00537662" w:rsidRDefault="00A65E77" w:rsidP="008C0EBE">
      <w:pPr>
        <w:pStyle w:val="ListParagraph"/>
        <w:numPr>
          <w:ilvl w:val="0"/>
          <w:numId w:val="8"/>
        </w:numPr>
        <w:spacing w:line="300" w:lineRule="atLeast"/>
        <w:jc w:val="both"/>
        <w:rPr>
          <w:rFonts w:ascii="Palatino Linotype" w:eastAsia="Times New Roman" w:hAnsi="Palatino Linotype" w:cs="Arial"/>
          <w:lang w:val="fr-FR" w:eastAsia="fr-FR"/>
        </w:rPr>
      </w:pPr>
      <w:r w:rsidRPr="00537662">
        <w:rPr>
          <w:rFonts w:ascii="Palatino Linotype" w:eastAsia="Times New Roman" w:hAnsi="Palatino Linotype" w:cs="Arial"/>
          <w:lang w:val="fr-FR" w:eastAsia="fr-FR"/>
        </w:rPr>
        <w:t>Une centrale de monitorage : l</w:t>
      </w:r>
      <w:r w:rsidR="008C0EBE" w:rsidRPr="00537662">
        <w:rPr>
          <w:rFonts w:ascii="Palatino Linotype" w:eastAsia="Times New Roman" w:hAnsi="Palatino Linotype" w:cs="Arial"/>
          <w:lang w:val="fr-FR" w:eastAsia="fr-FR"/>
        </w:rPr>
        <w:t xml:space="preserve">a centrale </w:t>
      </w:r>
      <w:proofErr w:type="spellStart"/>
      <w:r w:rsidR="008C0EBE" w:rsidRPr="00537662">
        <w:rPr>
          <w:rFonts w:ascii="Palatino Linotype" w:eastAsia="Times New Roman" w:hAnsi="Palatino Linotype" w:cs="Arial"/>
          <w:lang w:val="fr-FR" w:eastAsia="fr-FR"/>
        </w:rPr>
        <w:t>Eurovac</w:t>
      </w:r>
      <w:proofErr w:type="spellEnd"/>
      <w:r w:rsidR="008C0EBE" w:rsidRPr="00537662">
        <w:rPr>
          <w:rFonts w:ascii="Palatino Linotype" w:eastAsia="Times New Roman" w:hAnsi="Palatino Linotype" w:cs="Arial"/>
          <w:lang w:val="fr-FR" w:eastAsia="fr-FR"/>
        </w:rPr>
        <w:t xml:space="preserve"> NV</w:t>
      </w:r>
      <w:r w:rsidR="00E176ED" w:rsidRPr="00537662">
        <w:rPr>
          <w:rFonts w:ascii="Palatino Linotype" w:eastAsia="Times New Roman" w:hAnsi="Palatino Linotype" w:cs="Arial"/>
          <w:lang w:val="fr-FR" w:eastAsia="fr-FR"/>
        </w:rPr>
        <w:t xml:space="preserve"> qui </w:t>
      </w:r>
      <w:r w:rsidR="008C0EBE" w:rsidRPr="00537662">
        <w:rPr>
          <w:rFonts w:ascii="Palatino Linotype" w:eastAsia="Times New Roman" w:hAnsi="Palatino Linotype" w:cs="Arial"/>
          <w:lang w:val="fr-FR" w:eastAsia="fr-FR"/>
        </w:rPr>
        <w:t xml:space="preserve">est un détecteur de fuites pour vide selon la norme EN 13160-1 de la Classe 1. </w:t>
      </w:r>
    </w:p>
    <w:p w14:paraId="08A7BD9E" w14:textId="50252DE0" w:rsidR="008C0EBE" w:rsidRPr="00537662" w:rsidRDefault="008C0EBE" w:rsidP="00E176ED">
      <w:pPr>
        <w:pStyle w:val="ListParagraph"/>
        <w:spacing w:line="300" w:lineRule="atLeast"/>
        <w:jc w:val="both"/>
        <w:rPr>
          <w:rFonts w:ascii="Palatino Linotype" w:eastAsia="Times New Roman" w:hAnsi="Palatino Linotype" w:cs="Arial"/>
          <w:i/>
          <w:lang w:val="fr-FR" w:eastAsia="fr-FR"/>
        </w:rPr>
      </w:pPr>
      <w:r w:rsidRPr="00537662">
        <w:rPr>
          <w:rFonts w:ascii="Palatino Linotype" w:eastAsia="Times New Roman" w:hAnsi="Palatino Linotype" w:cs="Arial"/>
          <w:i/>
          <w:lang w:val="fr-FR" w:eastAsia="fr-FR"/>
        </w:rPr>
        <w:t>La pompe à vide montée dans le détecteur de fuites, par le tuyau d'aspiration, engendre une dépression dans l'espace interstitiel de contrôle du réservoir, qui est maintenue constante au fil du temps. Quand on a une fuite dans la paroi intérieure ou l'extérieure du réservoir, la dépression baisse. Une fois le point de commutation d'a</w:t>
      </w:r>
      <w:r w:rsidR="00E176ED" w:rsidRPr="00537662">
        <w:rPr>
          <w:rFonts w:ascii="Palatino Linotype" w:eastAsia="Times New Roman" w:hAnsi="Palatino Linotype" w:cs="Arial"/>
          <w:i/>
          <w:lang w:val="fr-FR" w:eastAsia="fr-FR"/>
        </w:rPr>
        <w:t>larme atteint, la LED rouge d'Alarme</w:t>
      </w:r>
      <w:r w:rsidRPr="00537662">
        <w:rPr>
          <w:rFonts w:ascii="Palatino Linotype" w:eastAsia="Times New Roman" w:hAnsi="Palatino Linotype" w:cs="Arial"/>
          <w:i/>
          <w:lang w:val="fr-FR" w:eastAsia="fr-FR"/>
        </w:rPr>
        <w:t xml:space="preserve"> s'éclaire et l'alarme sonore se fait entendre.</w:t>
      </w:r>
    </w:p>
    <w:p w14:paraId="6383F604" w14:textId="77777777" w:rsidR="00D3139A" w:rsidRPr="000B79AA" w:rsidRDefault="00D3139A" w:rsidP="00D3139A">
      <w:pPr>
        <w:pStyle w:val="NoSpacing"/>
        <w:jc w:val="both"/>
        <w:rPr>
          <w:rFonts w:ascii="Palatino Linotype" w:hAnsi="Palatino Linotype"/>
        </w:rPr>
      </w:pPr>
    </w:p>
    <w:p w14:paraId="5881D347" w14:textId="77777777" w:rsidR="00D3139A" w:rsidRDefault="00D3139A" w:rsidP="00D3139A">
      <w:pPr>
        <w:pStyle w:val="NoSpacing"/>
        <w:numPr>
          <w:ilvl w:val="0"/>
          <w:numId w:val="1"/>
        </w:numPr>
        <w:jc w:val="both"/>
        <w:rPr>
          <w:rFonts w:ascii="Palatino Linotype" w:hAnsi="Palatino Linotype"/>
          <w:b/>
          <w:bCs/>
        </w:rPr>
      </w:pPr>
      <w:r w:rsidRPr="000D4420">
        <w:rPr>
          <w:rFonts w:ascii="Palatino Linotype" w:hAnsi="Palatino Linotype"/>
          <w:b/>
          <w:bCs/>
        </w:rPr>
        <w:t>Aspects légaux / Réputation du fournisseur</w:t>
      </w:r>
    </w:p>
    <w:p w14:paraId="07932875" w14:textId="77777777" w:rsidR="00D3139A" w:rsidRPr="000B79AA" w:rsidRDefault="00D3139A" w:rsidP="00D3139A">
      <w:pPr>
        <w:pStyle w:val="NoSpacing"/>
        <w:jc w:val="both"/>
        <w:rPr>
          <w:rFonts w:ascii="Palatino Linotype" w:hAnsi="Palatino Linotype"/>
        </w:rPr>
      </w:pPr>
      <w:r w:rsidRPr="000B79AA">
        <w:rPr>
          <w:rFonts w:ascii="Palatino Linotype" w:hAnsi="Palatino Linotype"/>
        </w:rPr>
        <w:t xml:space="preserve">UCMIT, en tant qu’entité étatique, s’assure que les entreprises avec lesquelles elle fait des transactions sont légalement enregistrées et ne sont pas en contravention avec les autorités. De ce fait, l’UCMIT tiendra en compte, à tout moment, des éléments d’information ci-dessous : </w:t>
      </w:r>
    </w:p>
    <w:p w14:paraId="3383C5EE" w14:textId="77777777" w:rsidR="00D3139A" w:rsidRPr="000B79AA" w:rsidRDefault="00D3139A" w:rsidP="00D3139A">
      <w:pPr>
        <w:pStyle w:val="NoSpacing"/>
        <w:numPr>
          <w:ilvl w:val="0"/>
          <w:numId w:val="4"/>
        </w:numPr>
        <w:jc w:val="both"/>
        <w:rPr>
          <w:rFonts w:ascii="Palatino Linotype" w:hAnsi="Palatino Linotype"/>
        </w:rPr>
      </w:pPr>
      <w:r w:rsidRPr="000B79AA">
        <w:rPr>
          <w:rFonts w:ascii="Palatino Linotype" w:hAnsi="Palatino Linotype"/>
        </w:rPr>
        <w:t>La patente de fonctionnement délivrée par les autorités est à jour ;</w:t>
      </w:r>
    </w:p>
    <w:p w14:paraId="614D027E" w14:textId="77777777" w:rsidR="00D3139A" w:rsidRPr="000B79AA" w:rsidRDefault="00D3139A" w:rsidP="00D3139A">
      <w:pPr>
        <w:pStyle w:val="NoSpacing"/>
        <w:numPr>
          <w:ilvl w:val="0"/>
          <w:numId w:val="4"/>
        </w:numPr>
        <w:jc w:val="both"/>
        <w:rPr>
          <w:rFonts w:ascii="Palatino Linotype" w:hAnsi="Palatino Linotype"/>
        </w:rPr>
      </w:pPr>
      <w:r w:rsidRPr="000B79AA">
        <w:rPr>
          <w:rFonts w:ascii="Palatino Linotype" w:hAnsi="Palatino Linotype"/>
        </w:rPr>
        <w:t>L’entreprise satisfait les exigences formulés par l’OFAC (Manuel de procédures interne de l’UCMIT)</w:t>
      </w:r>
    </w:p>
    <w:p w14:paraId="62657D1A" w14:textId="77777777" w:rsidR="00D3139A" w:rsidRPr="000B79AA" w:rsidRDefault="00D3139A" w:rsidP="00D3139A">
      <w:pPr>
        <w:pStyle w:val="NoSpacing"/>
        <w:numPr>
          <w:ilvl w:val="0"/>
          <w:numId w:val="4"/>
        </w:numPr>
        <w:jc w:val="both"/>
        <w:rPr>
          <w:rFonts w:ascii="Palatino Linotype" w:hAnsi="Palatino Linotype"/>
        </w:rPr>
      </w:pPr>
      <w:r w:rsidRPr="000B79AA">
        <w:rPr>
          <w:rFonts w:ascii="Palatino Linotype" w:hAnsi="Palatino Linotype"/>
        </w:rPr>
        <w:t>L’entreprise jouit d’une bonne réputation auprès de ses clients (des particuliers ou des organisations) qui bénéficient de ses services ;</w:t>
      </w:r>
    </w:p>
    <w:p w14:paraId="6A7D4CC6" w14:textId="77777777" w:rsidR="00D3139A" w:rsidRPr="000B79AA" w:rsidRDefault="00D3139A" w:rsidP="00D3139A">
      <w:pPr>
        <w:pStyle w:val="NoSpacing"/>
        <w:numPr>
          <w:ilvl w:val="0"/>
          <w:numId w:val="4"/>
        </w:numPr>
        <w:jc w:val="both"/>
        <w:rPr>
          <w:rFonts w:ascii="Palatino Linotype" w:hAnsi="Palatino Linotype"/>
        </w:rPr>
      </w:pPr>
      <w:r w:rsidRPr="000B79AA">
        <w:rPr>
          <w:rFonts w:ascii="Palatino Linotype" w:hAnsi="Palatino Linotype"/>
        </w:rPr>
        <w:t>L’entreprise répond favorablement à la grille d’évaluation de prestation de services établie par l’UCMIT.</w:t>
      </w:r>
    </w:p>
    <w:p w14:paraId="63F72B35" w14:textId="77777777" w:rsidR="00D3139A" w:rsidRPr="000B79AA" w:rsidRDefault="00D3139A" w:rsidP="00D3139A">
      <w:pPr>
        <w:pStyle w:val="NoSpacing"/>
        <w:numPr>
          <w:ilvl w:val="0"/>
          <w:numId w:val="4"/>
        </w:numPr>
        <w:jc w:val="both"/>
        <w:rPr>
          <w:rFonts w:ascii="Palatino Linotype" w:hAnsi="Palatino Linotype"/>
        </w:rPr>
      </w:pPr>
      <w:r w:rsidRPr="000B79AA">
        <w:rPr>
          <w:rFonts w:ascii="Palatino Linotype" w:hAnsi="Palatino Linotype"/>
        </w:rPr>
        <w:t xml:space="preserve">L’entreprise bénéfice d’un avis favorable à la satisfaction des matériels utilisés ou fournis antérieurement. </w:t>
      </w:r>
    </w:p>
    <w:p w14:paraId="1C4183F2" w14:textId="77777777" w:rsidR="00D3139A" w:rsidRDefault="00D3139A" w:rsidP="00D3139A">
      <w:pPr>
        <w:pStyle w:val="NoSpacing"/>
        <w:ind w:left="720"/>
        <w:jc w:val="both"/>
        <w:rPr>
          <w:rFonts w:ascii="Palatino Linotype" w:hAnsi="Palatino Linotype"/>
          <w:b/>
          <w:bCs/>
        </w:rPr>
      </w:pPr>
    </w:p>
    <w:p w14:paraId="186F9FC7" w14:textId="77777777" w:rsidR="00D3139A" w:rsidRDefault="00D3139A" w:rsidP="00D3139A">
      <w:pPr>
        <w:pStyle w:val="NoSpacing"/>
        <w:numPr>
          <w:ilvl w:val="0"/>
          <w:numId w:val="1"/>
        </w:numPr>
        <w:jc w:val="both"/>
        <w:rPr>
          <w:rFonts w:ascii="Palatino Linotype" w:hAnsi="Palatino Linotype"/>
          <w:b/>
          <w:bCs/>
        </w:rPr>
      </w:pPr>
      <w:r>
        <w:rPr>
          <w:rFonts w:ascii="Palatino Linotype" w:hAnsi="Palatino Linotype"/>
          <w:b/>
          <w:bCs/>
        </w:rPr>
        <w:t>Paiement / Conditions de Paiement</w:t>
      </w:r>
    </w:p>
    <w:p w14:paraId="15D686E1" w14:textId="77777777" w:rsidR="006A357A" w:rsidRDefault="00D3139A" w:rsidP="00D3139A">
      <w:pPr>
        <w:pStyle w:val="NoSpacing"/>
        <w:numPr>
          <w:ilvl w:val="0"/>
          <w:numId w:val="5"/>
        </w:numPr>
        <w:jc w:val="both"/>
        <w:rPr>
          <w:rFonts w:ascii="Palatino Linotype" w:hAnsi="Palatino Linotype"/>
        </w:rPr>
      </w:pPr>
      <w:r w:rsidRPr="000B79AA">
        <w:rPr>
          <w:rFonts w:ascii="Palatino Linotype" w:hAnsi="Palatino Linotype"/>
        </w:rPr>
        <w:t xml:space="preserve">Le paiement sera effectué selon les thèmes définit dans le contrat. </w:t>
      </w:r>
    </w:p>
    <w:p w14:paraId="0D514600" w14:textId="41D14F28" w:rsidR="00D3139A" w:rsidRPr="000B79AA" w:rsidRDefault="00D3139A" w:rsidP="00D3139A">
      <w:pPr>
        <w:pStyle w:val="NoSpacing"/>
        <w:numPr>
          <w:ilvl w:val="0"/>
          <w:numId w:val="5"/>
        </w:numPr>
        <w:jc w:val="both"/>
        <w:rPr>
          <w:rFonts w:ascii="Palatino Linotype" w:hAnsi="Palatino Linotype"/>
        </w:rPr>
      </w:pPr>
      <w:r w:rsidRPr="000B79AA">
        <w:rPr>
          <w:rFonts w:ascii="Palatino Linotype" w:hAnsi="Palatino Linotype"/>
        </w:rPr>
        <w:t>La méthode de paiement favorable à l’UCMIT est le paiement par chèque émis au nom de l’entreprise. De ce fait :</w:t>
      </w:r>
    </w:p>
    <w:p w14:paraId="012DD299" w14:textId="7ED418D4" w:rsidR="00D3139A" w:rsidRPr="0071184A" w:rsidRDefault="00D3139A" w:rsidP="00A65E77">
      <w:pPr>
        <w:pStyle w:val="NoSpacing"/>
        <w:numPr>
          <w:ilvl w:val="1"/>
          <w:numId w:val="9"/>
        </w:numPr>
        <w:jc w:val="both"/>
        <w:rPr>
          <w:rFonts w:ascii="Palatino Linotype" w:hAnsi="Palatino Linotype"/>
        </w:rPr>
      </w:pPr>
      <w:r w:rsidRPr="000B79AA">
        <w:rPr>
          <w:rFonts w:ascii="Palatino Linotype" w:hAnsi="Palatino Linotype"/>
        </w:rPr>
        <w:t>L’entreprise doit communiquer dans la cotation le nom au profit duquel on doit émettre le chèque.</w:t>
      </w:r>
    </w:p>
    <w:p w14:paraId="55F4F7F2" w14:textId="77777777" w:rsidR="00D3139A" w:rsidRPr="000B79AA" w:rsidRDefault="00D3139A" w:rsidP="00A65E77">
      <w:pPr>
        <w:pStyle w:val="NoSpacing"/>
        <w:numPr>
          <w:ilvl w:val="1"/>
          <w:numId w:val="9"/>
        </w:numPr>
        <w:jc w:val="both"/>
        <w:rPr>
          <w:rFonts w:ascii="Palatino Linotype" w:hAnsi="Palatino Linotype"/>
          <w:bCs/>
        </w:rPr>
      </w:pPr>
      <w:r w:rsidRPr="000B79AA">
        <w:rPr>
          <w:rFonts w:ascii="Palatino Linotype" w:hAnsi="Palatino Linotype"/>
          <w:bCs/>
        </w:rPr>
        <w:t xml:space="preserve">Aucune taxe (TCA ou autres) ne doit être ajoutée dans la facture. </w:t>
      </w:r>
      <w:r w:rsidRPr="000B79AA">
        <w:rPr>
          <w:rFonts w:ascii="Palatino Linotype" w:hAnsi="Palatino Linotype"/>
        </w:rPr>
        <w:t>UCMIT, étant une entité étatique délivrant des services de santé à la population est exonéré des taxes.</w:t>
      </w:r>
    </w:p>
    <w:p w14:paraId="31D8F0E0" w14:textId="7720D087" w:rsidR="00D3139A" w:rsidRPr="000B79AA" w:rsidRDefault="00061012" w:rsidP="00A65E77">
      <w:pPr>
        <w:pStyle w:val="NoSpacing"/>
        <w:numPr>
          <w:ilvl w:val="1"/>
          <w:numId w:val="9"/>
        </w:numPr>
        <w:jc w:val="both"/>
        <w:rPr>
          <w:rFonts w:ascii="Palatino Linotype" w:hAnsi="Palatino Linotype"/>
          <w:bCs/>
        </w:rPr>
      </w:pPr>
      <w:r>
        <w:rPr>
          <w:rFonts w:ascii="Palatino Linotype" w:hAnsi="Palatino Linotype"/>
        </w:rPr>
        <w:t>Aprè</w:t>
      </w:r>
      <w:r w:rsidR="00D3139A" w:rsidRPr="000B79AA">
        <w:rPr>
          <w:rFonts w:ascii="Palatino Linotype" w:hAnsi="Palatino Linotype"/>
        </w:rPr>
        <w:t>s paiement, en plus de la facture de paiement avec sceau payé, l’entreprise doit donner à l’UCMIT une confirmation de garantie des services après-vente.</w:t>
      </w:r>
    </w:p>
    <w:p w14:paraId="6A9D92AC" w14:textId="77777777" w:rsidR="00D3139A" w:rsidRPr="000B79AA" w:rsidRDefault="00D3139A" w:rsidP="00D3139A">
      <w:pPr>
        <w:pStyle w:val="NoSpacing"/>
        <w:jc w:val="both"/>
        <w:rPr>
          <w:rFonts w:ascii="Palatino Linotype" w:hAnsi="Palatino Linotype"/>
        </w:rPr>
      </w:pPr>
    </w:p>
    <w:p w14:paraId="4225EB46" w14:textId="0081EB77" w:rsidR="00886431" w:rsidRDefault="00886431" w:rsidP="00D3139A">
      <w:pPr>
        <w:pStyle w:val="NoSpacing"/>
        <w:numPr>
          <w:ilvl w:val="0"/>
          <w:numId w:val="1"/>
        </w:numPr>
        <w:jc w:val="both"/>
        <w:rPr>
          <w:rFonts w:ascii="Palatino Linotype" w:hAnsi="Palatino Linotype"/>
          <w:b/>
          <w:bCs/>
        </w:rPr>
      </w:pPr>
      <w:r>
        <w:rPr>
          <w:rFonts w:ascii="Palatino Linotype" w:hAnsi="Palatino Linotype"/>
          <w:b/>
          <w:bCs/>
        </w:rPr>
        <w:t xml:space="preserve">Garantie et Services après-vente </w:t>
      </w:r>
    </w:p>
    <w:p w14:paraId="3001533A" w14:textId="77777777" w:rsidR="004772D1" w:rsidRDefault="00886431" w:rsidP="00F06AFD">
      <w:pPr>
        <w:spacing w:after="0"/>
        <w:rPr>
          <w:rFonts w:ascii="Palatino Linotype" w:hAnsi="Palatino Linotype"/>
          <w:lang w:val="fr-FR"/>
        </w:rPr>
      </w:pPr>
      <w:r w:rsidRPr="00886431">
        <w:rPr>
          <w:rFonts w:ascii="Palatino Linotype" w:hAnsi="Palatino Linotype"/>
          <w:lang w:val="fr-FR"/>
        </w:rPr>
        <w:t xml:space="preserve">Le fournisseur doit </w:t>
      </w:r>
      <w:r w:rsidR="004772D1">
        <w:rPr>
          <w:rFonts w:ascii="Palatino Linotype" w:hAnsi="Palatino Linotype"/>
          <w:lang w:val="fr-FR"/>
        </w:rPr>
        <w:t>préciser dans son offre technique :</w:t>
      </w:r>
    </w:p>
    <w:p w14:paraId="57EB4CA8" w14:textId="463225A2" w:rsidR="00886431" w:rsidRPr="004772D1" w:rsidRDefault="004772D1" w:rsidP="004772D1">
      <w:pPr>
        <w:pStyle w:val="ListParagraph"/>
        <w:numPr>
          <w:ilvl w:val="0"/>
          <w:numId w:val="11"/>
        </w:numPr>
        <w:rPr>
          <w:rFonts w:ascii="Palatino Linotype" w:hAnsi="Palatino Linotype"/>
          <w:lang w:val="fr-FR"/>
        </w:rPr>
      </w:pPr>
      <w:r>
        <w:rPr>
          <w:rFonts w:ascii="Palatino Linotype" w:hAnsi="Palatino Linotype"/>
          <w:lang w:val="fr-FR"/>
        </w:rPr>
        <w:t xml:space="preserve">La </w:t>
      </w:r>
      <w:r w:rsidR="00886431" w:rsidRPr="004772D1">
        <w:rPr>
          <w:rFonts w:ascii="Palatino Linotype" w:hAnsi="Palatino Linotype"/>
          <w:lang w:val="fr-FR"/>
        </w:rPr>
        <w:t xml:space="preserve">garantie </w:t>
      </w:r>
      <w:r w:rsidR="00E176ED">
        <w:rPr>
          <w:rFonts w:ascii="Palatino Linotype" w:hAnsi="Palatino Linotype"/>
          <w:lang w:val="fr-FR"/>
        </w:rPr>
        <w:t>qui est donnée</w:t>
      </w:r>
      <w:r w:rsidR="00EA2F73">
        <w:rPr>
          <w:rFonts w:ascii="Palatino Linotype" w:hAnsi="Palatino Linotype"/>
          <w:lang w:val="fr-FR"/>
        </w:rPr>
        <w:t xml:space="preserve"> </w:t>
      </w:r>
      <w:r w:rsidR="00537662">
        <w:rPr>
          <w:rFonts w:ascii="Palatino Linotype" w:hAnsi="Palatino Linotype"/>
          <w:lang w:val="fr-FR"/>
        </w:rPr>
        <w:t>au</w:t>
      </w:r>
      <w:r w:rsidR="00EA2F73">
        <w:rPr>
          <w:rFonts w:ascii="Palatino Linotype" w:hAnsi="Palatino Linotype"/>
          <w:lang w:val="fr-FR"/>
        </w:rPr>
        <w:t xml:space="preserve"> bon fonctionnement de la cuve</w:t>
      </w:r>
      <w:r w:rsidR="00F06AFD">
        <w:rPr>
          <w:rFonts w:ascii="Palatino Linotype" w:hAnsi="Palatino Linotype"/>
          <w:lang w:val="fr-FR"/>
        </w:rPr>
        <w:t xml:space="preserve"> et indiquer </w:t>
      </w:r>
      <w:r w:rsidR="000035C1">
        <w:rPr>
          <w:rFonts w:ascii="Palatino Linotype" w:hAnsi="Palatino Linotype"/>
          <w:lang w:val="fr-FR"/>
        </w:rPr>
        <w:t xml:space="preserve">sur quelle </w:t>
      </w:r>
      <w:r w:rsidR="00886431" w:rsidRPr="004772D1">
        <w:rPr>
          <w:rFonts w:ascii="Palatino Linotype" w:hAnsi="Palatino Linotype"/>
          <w:lang w:val="fr-FR"/>
        </w:rPr>
        <w:t>période</w:t>
      </w:r>
      <w:r w:rsidR="000035C1">
        <w:rPr>
          <w:rFonts w:ascii="Palatino Linotype" w:hAnsi="Palatino Linotype"/>
          <w:lang w:val="fr-FR"/>
        </w:rPr>
        <w:t xml:space="preserve"> elle s’étend ;</w:t>
      </w:r>
    </w:p>
    <w:p w14:paraId="75912C79" w14:textId="4354A4CC" w:rsidR="000035C1" w:rsidRDefault="000035C1" w:rsidP="000035C1">
      <w:pPr>
        <w:pStyle w:val="ListParagraph"/>
        <w:numPr>
          <w:ilvl w:val="0"/>
          <w:numId w:val="11"/>
        </w:numPr>
        <w:rPr>
          <w:rFonts w:ascii="Palatino Linotype" w:hAnsi="Palatino Linotype"/>
          <w:lang w:val="fr-FR"/>
        </w:rPr>
      </w:pPr>
      <w:r>
        <w:rPr>
          <w:rFonts w:ascii="Palatino Linotype" w:hAnsi="Palatino Linotype"/>
          <w:lang w:val="fr-FR"/>
        </w:rPr>
        <w:t>La quantité et le type de service gratuit et/ou à prix réduit après-</w:t>
      </w:r>
      <w:r w:rsidR="00EB4F70">
        <w:rPr>
          <w:rFonts w:ascii="Palatino Linotype" w:hAnsi="Palatino Linotype"/>
          <w:lang w:val="fr-FR"/>
        </w:rPr>
        <w:t>installation</w:t>
      </w:r>
      <w:r>
        <w:rPr>
          <w:rFonts w:ascii="Palatino Linotype" w:hAnsi="Palatino Linotype"/>
          <w:lang w:val="fr-FR"/>
        </w:rPr>
        <w:t> ;</w:t>
      </w:r>
    </w:p>
    <w:p w14:paraId="1CAF510E" w14:textId="5FB48D7C" w:rsidR="00537662" w:rsidRDefault="00537662" w:rsidP="000035C1">
      <w:pPr>
        <w:pStyle w:val="ListParagraph"/>
        <w:numPr>
          <w:ilvl w:val="0"/>
          <w:numId w:val="11"/>
        </w:numPr>
        <w:rPr>
          <w:rFonts w:ascii="Palatino Linotype" w:hAnsi="Palatino Linotype"/>
          <w:lang w:val="fr-FR"/>
        </w:rPr>
      </w:pPr>
      <w:r>
        <w:rPr>
          <w:rFonts w:ascii="Palatino Linotype" w:hAnsi="Palatino Linotype"/>
          <w:lang w:val="fr-FR"/>
        </w:rPr>
        <w:t xml:space="preserve">A l’expiration, de la période de gratuité, la compagnie </w:t>
      </w:r>
      <w:r w:rsidR="003350D2">
        <w:rPr>
          <w:rFonts w:ascii="Palatino Linotype" w:hAnsi="Palatino Linotype"/>
          <w:lang w:val="fr-FR"/>
        </w:rPr>
        <w:t>pourra offrir des services à des prix préférentiels</w:t>
      </w:r>
    </w:p>
    <w:p w14:paraId="3AE9D0D4" w14:textId="133F2D14" w:rsidR="00886431" w:rsidRDefault="00886431" w:rsidP="004772D1">
      <w:pPr>
        <w:pStyle w:val="ListParagraph"/>
        <w:numPr>
          <w:ilvl w:val="0"/>
          <w:numId w:val="11"/>
        </w:numPr>
        <w:rPr>
          <w:rFonts w:ascii="Palatino Linotype" w:hAnsi="Palatino Linotype"/>
          <w:lang w:val="fr-FR"/>
        </w:rPr>
      </w:pPr>
      <w:r w:rsidRPr="004772D1">
        <w:rPr>
          <w:rFonts w:ascii="Palatino Linotype" w:hAnsi="Palatino Linotype"/>
          <w:lang w:val="fr-FR"/>
        </w:rPr>
        <w:t xml:space="preserve">La </w:t>
      </w:r>
      <w:r w:rsidR="000035C1" w:rsidRPr="004772D1">
        <w:rPr>
          <w:rFonts w:ascii="Palatino Linotype" w:hAnsi="Palatino Linotype"/>
          <w:lang w:val="fr-FR"/>
        </w:rPr>
        <w:t>disponibilité</w:t>
      </w:r>
      <w:r w:rsidRPr="004772D1">
        <w:rPr>
          <w:rFonts w:ascii="Palatino Linotype" w:hAnsi="Palatino Linotype"/>
          <w:lang w:val="fr-FR"/>
        </w:rPr>
        <w:t xml:space="preserve"> des </w:t>
      </w:r>
      <w:r w:rsidR="00865826" w:rsidRPr="004772D1">
        <w:rPr>
          <w:rFonts w:ascii="Palatino Linotype" w:hAnsi="Palatino Linotype"/>
          <w:lang w:val="fr-FR"/>
        </w:rPr>
        <w:t>pièces</w:t>
      </w:r>
      <w:r w:rsidRPr="004772D1">
        <w:rPr>
          <w:rFonts w:ascii="Palatino Linotype" w:hAnsi="Palatino Linotype"/>
          <w:lang w:val="fr-FR"/>
        </w:rPr>
        <w:t xml:space="preserve"> de rechange sur le marché</w:t>
      </w:r>
      <w:r w:rsidR="005907D1">
        <w:rPr>
          <w:rFonts w:ascii="Palatino Linotype" w:hAnsi="Palatino Linotype"/>
          <w:lang w:val="fr-FR"/>
        </w:rPr>
        <w:t> ;</w:t>
      </w:r>
    </w:p>
    <w:p w14:paraId="5DCC01C8" w14:textId="3DA1ABBC" w:rsidR="00E176ED" w:rsidRDefault="000035C1" w:rsidP="004772D1">
      <w:pPr>
        <w:pStyle w:val="ListParagraph"/>
        <w:numPr>
          <w:ilvl w:val="0"/>
          <w:numId w:val="11"/>
        </w:numPr>
        <w:rPr>
          <w:rFonts w:ascii="Palatino Linotype" w:hAnsi="Palatino Linotype"/>
          <w:lang w:val="fr-FR"/>
        </w:rPr>
      </w:pPr>
      <w:r>
        <w:rPr>
          <w:rFonts w:ascii="Palatino Linotype" w:hAnsi="Palatino Linotype"/>
          <w:lang w:val="fr-FR"/>
        </w:rPr>
        <w:t xml:space="preserve">La disponibilité de techniciens </w:t>
      </w:r>
      <w:r w:rsidR="005907D1">
        <w:rPr>
          <w:rFonts w:ascii="Palatino Linotype" w:hAnsi="Palatino Linotype"/>
          <w:lang w:val="fr-FR"/>
        </w:rPr>
        <w:t>sur le marché à intervenir en cas d’urgence si les portes de la compagnie sont fermées ;</w:t>
      </w:r>
    </w:p>
    <w:p w14:paraId="545F7A53" w14:textId="7FE8488F" w:rsidR="005907D1" w:rsidRDefault="005907D1" w:rsidP="004772D1">
      <w:pPr>
        <w:pStyle w:val="ListParagraph"/>
        <w:numPr>
          <w:ilvl w:val="0"/>
          <w:numId w:val="11"/>
        </w:numPr>
        <w:rPr>
          <w:rFonts w:ascii="Palatino Linotype" w:hAnsi="Palatino Linotype"/>
          <w:lang w:val="fr-FR"/>
        </w:rPr>
      </w:pPr>
      <w:r>
        <w:rPr>
          <w:rFonts w:ascii="Palatino Linotype" w:hAnsi="Palatino Linotype"/>
          <w:lang w:val="fr-FR"/>
        </w:rPr>
        <w:t xml:space="preserve">Une démonstration </w:t>
      </w:r>
      <w:r w:rsidR="00EA2F73">
        <w:rPr>
          <w:rFonts w:ascii="Palatino Linotype" w:hAnsi="Palatino Linotype"/>
          <w:lang w:val="fr-FR"/>
        </w:rPr>
        <w:t>et un guide d’utilisation après</w:t>
      </w:r>
      <w:r>
        <w:rPr>
          <w:rFonts w:ascii="Palatino Linotype" w:hAnsi="Palatino Linotype"/>
          <w:lang w:val="fr-FR"/>
        </w:rPr>
        <w:t xml:space="preserve"> </w:t>
      </w:r>
      <w:r w:rsidR="00EA2F73">
        <w:rPr>
          <w:rFonts w:ascii="Palatino Linotype" w:hAnsi="Palatino Linotype"/>
          <w:lang w:val="fr-FR"/>
        </w:rPr>
        <w:t>installation ;</w:t>
      </w:r>
      <w:r>
        <w:rPr>
          <w:rFonts w:ascii="Palatino Linotype" w:hAnsi="Palatino Linotype"/>
          <w:lang w:val="fr-FR"/>
        </w:rPr>
        <w:t xml:space="preserve"> </w:t>
      </w:r>
    </w:p>
    <w:p w14:paraId="506D6E0E" w14:textId="3B12C1B7" w:rsidR="003350D2" w:rsidRPr="004772D1" w:rsidRDefault="003350D2" w:rsidP="004772D1">
      <w:pPr>
        <w:pStyle w:val="ListParagraph"/>
        <w:numPr>
          <w:ilvl w:val="0"/>
          <w:numId w:val="11"/>
        </w:numPr>
        <w:rPr>
          <w:rFonts w:ascii="Palatino Linotype" w:hAnsi="Palatino Linotype"/>
          <w:lang w:val="fr-FR"/>
        </w:rPr>
      </w:pPr>
      <w:r>
        <w:rPr>
          <w:rFonts w:ascii="Palatino Linotype" w:hAnsi="Palatino Linotype"/>
          <w:lang w:val="fr-FR"/>
        </w:rPr>
        <w:t>Comment la compagnie interviendra sur les problèmes non identifiés</w:t>
      </w:r>
    </w:p>
    <w:p w14:paraId="1DAB41C9" w14:textId="77777777" w:rsidR="00886431" w:rsidRDefault="00886431" w:rsidP="00FB436B">
      <w:pPr>
        <w:pStyle w:val="NoSpacing"/>
        <w:jc w:val="both"/>
        <w:rPr>
          <w:rFonts w:ascii="Palatino Linotype" w:hAnsi="Palatino Linotype"/>
          <w:b/>
          <w:bCs/>
        </w:rPr>
      </w:pPr>
    </w:p>
    <w:p w14:paraId="11892E29" w14:textId="45004EFE" w:rsidR="00886431" w:rsidRDefault="00886431" w:rsidP="00D3139A">
      <w:pPr>
        <w:pStyle w:val="NoSpacing"/>
        <w:numPr>
          <w:ilvl w:val="0"/>
          <w:numId w:val="1"/>
        </w:numPr>
        <w:jc w:val="both"/>
        <w:rPr>
          <w:rFonts w:ascii="Palatino Linotype" w:hAnsi="Palatino Linotype"/>
          <w:b/>
          <w:bCs/>
        </w:rPr>
      </w:pPr>
      <w:r>
        <w:rPr>
          <w:rFonts w:ascii="Palatino Linotype" w:hAnsi="Palatino Linotype"/>
          <w:b/>
          <w:bCs/>
        </w:rPr>
        <w:t>Constitution du dossier</w:t>
      </w:r>
    </w:p>
    <w:p w14:paraId="26D46902" w14:textId="77777777" w:rsidR="00CA26BE" w:rsidRDefault="00CA26BE" w:rsidP="00D3139A">
      <w:pPr>
        <w:pStyle w:val="NoSpacing"/>
        <w:numPr>
          <w:ilvl w:val="0"/>
          <w:numId w:val="6"/>
        </w:numPr>
        <w:jc w:val="both"/>
        <w:rPr>
          <w:rFonts w:ascii="Palatino Linotype" w:hAnsi="Palatino Linotype"/>
        </w:rPr>
      </w:pPr>
      <w:r w:rsidRPr="000B79AA">
        <w:rPr>
          <w:rFonts w:ascii="Palatino Linotype" w:hAnsi="Palatino Linotype"/>
        </w:rPr>
        <w:t xml:space="preserve">Cotations détaillées </w:t>
      </w:r>
    </w:p>
    <w:p w14:paraId="11C02612" w14:textId="5EEF8BD6" w:rsidR="00A728F8" w:rsidRDefault="00A728F8" w:rsidP="00D3139A">
      <w:pPr>
        <w:pStyle w:val="NoSpacing"/>
        <w:numPr>
          <w:ilvl w:val="0"/>
          <w:numId w:val="6"/>
        </w:numPr>
        <w:jc w:val="both"/>
        <w:rPr>
          <w:rFonts w:ascii="Palatino Linotype" w:hAnsi="Palatino Linotype"/>
        </w:rPr>
      </w:pPr>
      <w:r>
        <w:rPr>
          <w:rFonts w:ascii="Palatino Linotype" w:hAnsi="Palatino Linotype"/>
        </w:rPr>
        <w:t>Preuve d’enregistrement et d’existence légale (patente et immatriculation fiscale)</w:t>
      </w:r>
    </w:p>
    <w:p w14:paraId="1016C92B" w14:textId="0BFF865D" w:rsidR="00A728F8" w:rsidRDefault="00A728F8" w:rsidP="00D3139A">
      <w:pPr>
        <w:pStyle w:val="NoSpacing"/>
        <w:numPr>
          <w:ilvl w:val="0"/>
          <w:numId w:val="6"/>
        </w:numPr>
        <w:jc w:val="both"/>
        <w:rPr>
          <w:rFonts w:ascii="Palatino Linotype" w:hAnsi="Palatino Linotype"/>
        </w:rPr>
      </w:pPr>
      <w:r>
        <w:rPr>
          <w:rFonts w:ascii="Palatino Linotype" w:hAnsi="Palatino Linotype"/>
        </w:rPr>
        <w:t>Preuve d’existence réelle (adresse ph</w:t>
      </w:r>
      <w:r w:rsidR="00CA26BE">
        <w:rPr>
          <w:rFonts w:ascii="Palatino Linotype" w:hAnsi="Palatino Linotype"/>
        </w:rPr>
        <w:t>ysique, Représentant, expériences antérieures, etc…)</w:t>
      </w:r>
    </w:p>
    <w:p w14:paraId="2CD8DE86" w14:textId="1FCD1556" w:rsidR="00D3139A" w:rsidRDefault="00CA26BE" w:rsidP="00D3139A">
      <w:pPr>
        <w:pStyle w:val="NoSpacing"/>
        <w:numPr>
          <w:ilvl w:val="0"/>
          <w:numId w:val="6"/>
        </w:numPr>
        <w:jc w:val="both"/>
        <w:rPr>
          <w:rFonts w:ascii="Palatino Linotype" w:hAnsi="Palatino Linotype"/>
        </w:rPr>
      </w:pPr>
      <w:r>
        <w:rPr>
          <w:rFonts w:ascii="Palatino Linotype" w:hAnsi="Palatino Linotype"/>
        </w:rPr>
        <w:t>Preuve de capacité à délivrer les biens ou les services (Personnel, Equipements, Matériels, Stocks, etc…)</w:t>
      </w:r>
    </w:p>
    <w:p w14:paraId="16DD8490" w14:textId="77777777" w:rsidR="00D3139A" w:rsidRPr="000B79AA" w:rsidRDefault="00D3139A" w:rsidP="00D3139A">
      <w:pPr>
        <w:pStyle w:val="NoSpacing"/>
        <w:numPr>
          <w:ilvl w:val="0"/>
          <w:numId w:val="6"/>
        </w:numPr>
        <w:jc w:val="both"/>
        <w:rPr>
          <w:rFonts w:ascii="Palatino Linotype" w:hAnsi="Palatino Linotype"/>
        </w:rPr>
      </w:pPr>
      <w:r w:rsidRPr="000B79AA">
        <w:rPr>
          <w:rFonts w:ascii="Palatino Linotype" w:hAnsi="Palatino Linotype"/>
        </w:rPr>
        <w:t>Copie de la patente de fonctionnement à jour</w:t>
      </w:r>
    </w:p>
    <w:p w14:paraId="4B333F89" w14:textId="70A7FB59" w:rsidR="00D3139A" w:rsidRPr="00DB2B98" w:rsidRDefault="00D3139A" w:rsidP="00D3139A">
      <w:pPr>
        <w:pStyle w:val="NoSpacing"/>
        <w:numPr>
          <w:ilvl w:val="0"/>
          <w:numId w:val="6"/>
        </w:numPr>
        <w:jc w:val="both"/>
        <w:rPr>
          <w:rFonts w:ascii="Palatino Linotype" w:hAnsi="Palatino Linotype"/>
        </w:rPr>
      </w:pPr>
      <w:r w:rsidRPr="00DB2B98">
        <w:rPr>
          <w:rFonts w:ascii="Palatino Linotype" w:hAnsi="Palatino Linotype"/>
        </w:rPr>
        <w:t>Copie de matricule fiscale</w:t>
      </w:r>
    </w:p>
    <w:p w14:paraId="08193F98" w14:textId="77777777" w:rsidR="00D3139A" w:rsidRPr="00DB2B98" w:rsidRDefault="00D3139A" w:rsidP="00D3139A">
      <w:pPr>
        <w:pStyle w:val="NoSpacing"/>
        <w:numPr>
          <w:ilvl w:val="0"/>
          <w:numId w:val="6"/>
        </w:numPr>
        <w:jc w:val="both"/>
        <w:rPr>
          <w:rFonts w:ascii="Palatino Linotype" w:hAnsi="Palatino Linotype"/>
          <w:lang w:val="fr-HT"/>
        </w:rPr>
      </w:pPr>
      <w:r w:rsidRPr="00DB2B98">
        <w:rPr>
          <w:rFonts w:ascii="Palatino Linotype" w:hAnsi="Palatino Linotype"/>
          <w:lang w:val="fr-HT"/>
        </w:rPr>
        <w:t>Fournit la garantie d’entreprendre, même avant de recevoir des fonds de démarrage, les travaux exigés par l’UCMIT/UCP</w:t>
      </w:r>
    </w:p>
    <w:p w14:paraId="4BA94F02" w14:textId="77777777" w:rsidR="00D3139A" w:rsidRDefault="00D3139A" w:rsidP="00D3139A">
      <w:pPr>
        <w:pStyle w:val="NoSpacing"/>
        <w:ind w:left="720"/>
        <w:jc w:val="both"/>
        <w:rPr>
          <w:rFonts w:ascii="Palatino Linotype" w:hAnsi="Palatino Linotype"/>
          <w:b/>
          <w:bCs/>
        </w:rPr>
      </w:pPr>
    </w:p>
    <w:p w14:paraId="3948E0AF" w14:textId="77777777" w:rsidR="00D3139A" w:rsidRDefault="00D3139A" w:rsidP="00D3139A">
      <w:pPr>
        <w:pStyle w:val="NoSpacing"/>
        <w:numPr>
          <w:ilvl w:val="0"/>
          <w:numId w:val="1"/>
        </w:numPr>
        <w:jc w:val="both"/>
        <w:rPr>
          <w:rFonts w:ascii="Palatino Linotype" w:hAnsi="Palatino Linotype"/>
          <w:b/>
          <w:bCs/>
        </w:rPr>
      </w:pPr>
      <w:r>
        <w:rPr>
          <w:rFonts w:ascii="Palatino Linotype" w:hAnsi="Palatino Linotype"/>
          <w:b/>
          <w:bCs/>
        </w:rPr>
        <w:t>Critères d’Evaluation et de Sélection des Fournisseurs</w:t>
      </w:r>
    </w:p>
    <w:p w14:paraId="3BE07510" w14:textId="77777777" w:rsidR="00D3139A" w:rsidRPr="000B79AA" w:rsidRDefault="00D3139A" w:rsidP="00D3139A">
      <w:pPr>
        <w:pStyle w:val="NoSpacing"/>
        <w:jc w:val="both"/>
        <w:rPr>
          <w:rFonts w:ascii="Palatino Linotype" w:hAnsi="Palatino Linotype"/>
        </w:rPr>
      </w:pPr>
      <w:r w:rsidRPr="000B79AA">
        <w:rPr>
          <w:rFonts w:ascii="Palatino Linotype" w:hAnsi="Palatino Linotype"/>
        </w:rPr>
        <w:t>Les dossiers des fournisseurs seront évalués suivant les critères suivants :</w:t>
      </w:r>
    </w:p>
    <w:p w14:paraId="2CF7B856" w14:textId="5209D4F8" w:rsidR="00D3139A" w:rsidRPr="000B79AA" w:rsidRDefault="00D3139A" w:rsidP="00D3139A">
      <w:pPr>
        <w:pStyle w:val="NoSpacing"/>
        <w:numPr>
          <w:ilvl w:val="0"/>
          <w:numId w:val="7"/>
        </w:numPr>
        <w:jc w:val="both"/>
        <w:rPr>
          <w:rFonts w:ascii="Palatino Linotype" w:hAnsi="Palatino Linotype"/>
        </w:rPr>
      </w:pPr>
      <w:r w:rsidRPr="000B79AA">
        <w:rPr>
          <w:rFonts w:ascii="Palatino Linotype" w:hAnsi="Palatino Linotype"/>
        </w:rPr>
        <w:t xml:space="preserve">La présentation des </w:t>
      </w:r>
      <w:r w:rsidR="002C5CA2">
        <w:rPr>
          <w:rFonts w:ascii="Palatino Linotype" w:hAnsi="Palatino Linotype"/>
        </w:rPr>
        <w:t xml:space="preserve">offres </w:t>
      </w:r>
      <w:r w:rsidRPr="000B79AA">
        <w:rPr>
          <w:rFonts w:ascii="Palatino Linotype" w:hAnsi="Palatino Linotype"/>
        </w:rPr>
        <w:t xml:space="preserve">est en conformité aux </w:t>
      </w:r>
      <w:r w:rsidR="00EB4F70">
        <w:rPr>
          <w:rFonts w:ascii="Palatino Linotype" w:hAnsi="Palatino Linotype"/>
        </w:rPr>
        <w:t>TDR</w:t>
      </w:r>
      <w:r w:rsidRPr="000B79AA">
        <w:rPr>
          <w:rFonts w:ascii="Palatino Linotype" w:hAnsi="Palatino Linotype"/>
        </w:rPr>
        <w:t xml:space="preserve"> </w:t>
      </w:r>
    </w:p>
    <w:p w14:paraId="3CA73122" w14:textId="77777777" w:rsidR="00D3139A" w:rsidRPr="000B79AA" w:rsidRDefault="00D3139A" w:rsidP="00D3139A">
      <w:pPr>
        <w:pStyle w:val="NoSpacing"/>
        <w:numPr>
          <w:ilvl w:val="0"/>
          <w:numId w:val="7"/>
        </w:numPr>
        <w:jc w:val="both"/>
        <w:rPr>
          <w:rFonts w:ascii="Palatino Linotype" w:hAnsi="Palatino Linotype"/>
        </w:rPr>
      </w:pPr>
      <w:r w:rsidRPr="000B79AA">
        <w:rPr>
          <w:rFonts w:ascii="Palatino Linotype" w:hAnsi="Palatino Linotype"/>
        </w:rPr>
        <w:t xml:space="preserve">Le rapport qualité / prix toutes propositions gardées au regard des autres fournisseurs </w:t>
      </w:r>
    </w:p>
    <w:p w14:paraId="5BC1F09D" w14:textId="2F70B611" w:rsidR="00061012" w:rsidRDefault="00061012" w:rsidP="00061012">
      <w:pPr>
        <w:pStyle w:val="NoSpacing"/>
        <w:numPr>
          <w:ilvl w:val="0"/>
          <w:numId w:val="7"/>
        </w:numPr>
        <w:jc w:val="both"/>
        <w:rPr>
          <w:rFonts w:ascii="Palatino Linotype" w:hAnsi="Palatino Linotype"/>
        </w:rPr>
      </w:pPr>
      <w:r>
        <w:rPr>
          <w:rFonts w:ascii="Palatino Linotype" w:hAnsi="Palatino Linotype"/>
        </w:rPr>
        <w:t xml:space="preserve">Le </w:t>
      </w:r>
      <w:r w:rsidR="00A65E77">
        <w:rPr>
          <w:rFonts w:ascii="Palatino Linotype" w:hAnsi="Palatino Linotype"/>
        </w:rPr>
        <w:t xml:space="preserve">délai </w:t>
      </w:r>
      <w:r>
        <w:rPr>
          <w:rFonts w:ascii="Palatino Linotype" w:hAnsi="Palatino Linotype"/>
        </w:rPr>
        <w:t xml:space="preserve">d’exécution des travaux </w:t>
      </w:r>
      <w:r w:rsidR="00A65E77">
        <w:rPr>
          <w:rFonts w:ascii="Palatino Linotype" w:hAnsi="Palatino Linotype"/>
        </w:rPr>
        <w:t xml:space="preserve">et </w:t>
      </w:r>
      <w:r w:rsidR="003C7A7F">
        <w:rPr>
          <w:rFonts w:ascii="Palatino Linotype" w:hAnsi="Palatino Linotype"/>
        </w:rPr>
        <w:t>la mise en fonction de la cuve</w:t>
      </w:r>
      <w:r>
        <w:rPr>
          <w:rFonts w:ascii="Palatino Linotype" w:hAnsi="Palatino Linotype"/>
        </w:rPr>
        <w:t xml:space="preserve"> </w:t>
      </w:r>
    </w:p>
    <w:p w14:paraId="7514B05A" w14:textId="0A8DB359" w:rsidR="00D3139A" w:rsidRPr="000B79AA" w:rsidRDefault="00061012" w:rsidP="00061012">
      <w:pPr>
        <w:pStyle w:val="NoSpacing"/>
        <w:numPr>
          <w:ilvl w:val="0"/>
          <w:numId w:val="7"/>
        </w:numPr>
        <w:jc w:val="both"/>
        <w:rPr>
          <w:rFonts w:ascii="Palatino Linotype" w:hAnsi="Palatino Linotype"/>
        </w:rPr>
      </w:pPr>
      <w:r w:rsidRPr="000B79AA">
        <w:rPr>
          <w:rFonts w:ascii="Palatino Linotype" w:hAnsi="Palatino Linotype"/>
        </w:rPr>
        <w:lastRenderedPageBreak/>
        <w:t>Le score du fournisseur par rapport aux</w:t>
      </w:r>
      <w:r w:rsidRPr="00061012">
        <w:rPr>
          <w:rFonts w:ascii="Palatino Linotype" w:hAnsi="Palatino Linotype"/>
        </w:rPr>
        <w:t xml:space="preserve"> </w:t>
      </w:r>
      <w:r w:rsidRPr="000B79AA">
        <w:rPr>
          <w:rFonts w:ascii="Palatino Linotype" w:hAnsi="Palatino Linotype"/>
        </w:rPr>
        <w:t>autres critères mentionnés dans les termes de références (réputation, constitution du dossier, aspects légaux, acceptation des conditions de paiement, etc.)</w:t>
      </w:r>
    </w:p>
    <w:p w14:paraId="35BE6615" w14:textId="77777777" w:rsidR="00D3139A" w:rsidRDefault="00D3139A" w:rsidP="00D3139A">
      <w:pPr>
        <w:pStyle w:val="NoSpacing"/>
        <w:ind w:left="720"/>
        <w:jc w:val="both"/>
        <w:rPr>
          <w:rFonts w:ascii="Palatino Linotype" w:hAnsi="Palatino Linotype"/>
          <w:b/>
          <w:bCs/>
        </w:rPr>
      </w:pPr>
    </w:p>
    <w:p w14:paraId="645EF0FE" w14:textId="77777777" w:rsidR="00D3139A" w:rsidRDefault="00D3139A" w:rsidP="00D3139A">
      <w:pPr>
        <w:pStyle w:val="NoSpacing"/>
        <w:numPr>
          <w:ilvl w:val="0"/>
          <w:numId w:val="1"/>
        </w:numPr>
        <w:jc w:val="both"/>
        <w:rPr>
          <w:rFonts w:ascii="Palatino Linotype" w:hAnsi="Palatino Linotype"/>
          <w:b/>
          <w:bCs/>
        </w:rPr>
      </w:pPr>
      <w:r>
        <w:rPr>
          <w:rFonts w:ascii="Palatino Linotype" w:hAnsi="Palatino Linotype"/>
          <w:b/>
          <w:bCs/>
        </w:rPr>
        <w:t xml:space="preserve">Soumission du Dossier d’Application </w:t>
      </w:r>
    </w:p>
    <w:p w14:paraId="29503769" w14:textId="283D06BC" w:rsidR="00D3139A" w:rsidRPr="000B79AA" w:rsidRDefault="00D3139A" w:rsidP="00D3139A">
      <w:pPr>
        <w:pStyle w:val="NoSpacing"/>
        <w:jc w:val="both"/>
        <w:rPr>
          <w:rFonts w:ascii="Palatino Linotype" w:hAnsi="Palatino Linotype"/>
          <w:noProof/>
        </w:rPr>
      </w:pPr>
      <w:r w:rsidRPr="000B79AA">
        <w:rPr>
          <w:rFonts w:ascii="Palatino Linotype" w:hAnsi="Palatino Linotype"/>
        </w:rPr>
        <w:t xml:space="preserve">Les fournisseurs intéressés peuvent soumettre leur dossier d’application dans une enveloppe avec mention </w:t>
      </w:r>
      <w:r w:rsidRPr="000B79AA">
        <w:rPr>
          <w:rFonts w:ascii="Palatino Linotype" w:hAnsi="Palatino Linotype"/>
          <w:highlight w:val="yellow"/>
        </w:rPr>
        <w:t>"Cuve de Stockage</w:t>
      </w:r>
      <w:r w:rsidR="003C7A7F">
        <w:rPr>
          <w:rFonts w:ascii="Palatino Linotype" w:hAnsi="Palatino Linotype"/>
          <w:highlight w:val="yellow"/>
        </w:rPr>
        <w:t xml:space="preserve"> de Gasoil</w:t>
      </w:r>
      <w:r w:rsidRPr="000B79AA">
        <w:rPr>
          <w:rFonts w:ascii="Palatino Linotype" w:hAnsi="Palatino Linotype"/>
          <w:highlight w:val="yellow"/>
        </w:rPr>
        <w:t>"</w:t>
      </w:r>
      <w:r w:rsidRPr="000B79AA">
        <w:rPr>
          <w:rFonts w:ascii="Palatino Linotype" w:hAnsi="Palatino Linotype"/>
        </w:rPr>
        <w:t xml:space="preserve"> à la réception de l’UCMIT sis au 17, Rue </w:t>
      </w:r>
      <w:proofErr w:type="spellStart"/>
      <w:r w:rsidRPr="000B79AA">
        <w:rPr>
          <w:rFonts w:ascii="Palatino Linotype" w:hAnsi="Palatino Linotype"/>
        </w:rPr>
        <w:t>Darguin</w:t>
      </w:r>
      <w:proofErr w:type="spellEnd"/>
      <w:r w:rsidRPr="000B79AA">
        <w:rPr>
          <w:rFonts w:ascii="Palatino Linotype" w:hAnsi="Palatino Linotype"/>
        </w:rPr>
        <w:t>, Pétion-Ville, Haïti</w:t>
      </w:r>
      <w:r>
        <w:rPr>
          <w:rFonts w:ascii="Palatino Linotype" w:hAnsi="Palatino Linotype"/>
        </w:rPr>
        <w:t xml:space="preserve">, </w:t>
      </w:r>
      <w:r w:rsidRPr="000B79AA">
        <w:rPr>
          <w:rFonts w:ascii="Palatino Linotype" w:hAnsi="Palatino Linotype"/>
        </w:rPr>
        <w:t xml:space="preserve">au plus tard le  </w:t>
      </w:r>
      <w:r w:rsidR="00AA575B">
        <w:rPr>
          <w:rFonts w:ascii="Palatino Linotype" w:hAnsi="Palatino Linotype"/>
          <w:highlight w:val="yellow"/>
        </w:rPr>
        <w:t>8 septembre</w:t>
      </w:r>
      <w:r w:rsidRPr="000B79AA">
        <w:rPr>
          <w:rFonts w:ascii="Palatino Linotype" w:hAnsi="Palatino Linotype"/>
          <w:highlight w:val="yellow"/>
        </w:rPr>
        <w:t xml:space="preserve"> avant 4 :00 Pm.</w:t>
      </w:r>
      <w:bookmarkStart w:id="1" w:name="_GoBack"/>
      <w:bookmarkEnd w:id="1"/>
    </w:p>
    <w:bookmarkEnd w:id="0"/>
    <w:p w14:paraId="5F84E008" w14:textId="02EA0A26" w:rsidR="005B1A1C" w:rsidRDefault="005B1A1C" w:rsidP="00D3139A">
      <w:pPr>
        <w:rPr>
          <w:lang w:val="fr-FR"/>
        </w:rPr>
      </w:pPr>
    </w:p>
    <w:p w14:paraId="67940914" w14:textId="29618E53" w:rsidR="00A728F8" w:rsidRDefault="00A728F8" w:rsidP="00D3139A">
      <w:pPr>
        <w:rPr>
          <w:lang w:val="fr-FR"/>
        </w:rPr>
      </w:pPr>
    </w:p>
    <w:sectPr w:rsidR="00A728F8">
      <w:headerReference w:type="even" r:id="rId10"/>
      <w:headerReference w:type="default" r:id="rId11"/>
      <w:footerReference w:type="default" r:id="rId12"/>
      <w:headerReference w:type="first" r:id="rId13"/>
      <w:pgSz w:w="12240" w:h="15840"/>
      <w:pgMar w:top="108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A00E8E" w14:textId="77777777" w:rsidR="00B2183A" w:rsidRDefault="00B2183A">
      <w:pPr>
        <w:spacing w:after="0" w:line="240" w:lineRule="auto"/>
      </w:pPr>
      <w:r>
        <w:separator/>
      </w:r>
    </w:p>
  </w:endnote>
  <w:endnote w:type="continuationSeparator" w:id="0">
    <w:p w14:paraId="73231F0D" w14:textId="77777777" w:rsidR="00B2183A" w:rsidRDefault="00B21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309887"/>
      <w:docPartObj>
        <w:docPartGallery w:val="Page Numbers (Bottom of Page)"/>
        <w:docPartUnique/>
      </w:docPartObj>
    </w:sdtPr>
    <w:sdtEndPr/>
    <w:sdtContent>
      <w:sdt>
        <w:sdtPr>
          <w:id w:val="-1631622381"/>
          <w:docPartObj>
            <w:docPartGallery w:val="Page Numbers (Top of Page)"/>
            <w:docPartUnique/>
          </w:docPartObj>
        </w:sdtPr>
        <w:sdtEndPr/>
        <w:sdtContent>
          <w:p w14:paraId="68A2CE61" w14:textId="77777777" w:rsidR="00961C2C" w:rsidRDefault="008822B2">
            <w:pPr>
              <w:pStyle w:val="Footer"/>
              <w:jc w:val="right"/>
              <w:rPr>
                <w:u w:val="wave"/>
              </w:rPr>
            </w:pPr>
            <w:r>
              <w:rPr>
                <w:u w:val="wave"/>
              </w:rPr>
              <w:t>_____________________________________________________________________________________</w:t>
            </w:r>
          </w:p>
          <w:p w14:paraId="1A010E0C" w14:textId="0138C7E3" w:rsidR="003C7A7F" w:rsidRDefault="008822B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A575B">
              <w:rPr>
                <w:b/>
                <w:bCs/>
                <w:noProof/>
              </w:rPr>
              <w:t>1</w:t>
            </w:r>
            <w:r>
              <w:rPr>
                <w:b/>
                <w:bCs/>
                <w:sz w:val="24"/>
                <w:szCs w:val="24"/>
              </w:rPr>
              <w:fldChar w:fldCharType="end"/>
            </w:r>
            <w:r>
              <w:t xml:space="preserve"> of </w:t>
            </w:r>
            <w:r w:rsidR="003C7A7F">
              <w:t>4</w:t>
            </w:r>
          </w:p>
          <w:p w14:paraId="48D44DC2" w14:textId="2E915F48" w:rsidR="00961C2C" w:rsidRDefault="00AA575B">
            <w:pPr>
              <w:pStyle w:val="Footer"/>
              <w:jc w:val="right"/>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233BB9" w14:textId="77777777" w:rsidR="00B2183A" w:rsidRDefault="00B2183A">
      <w:pPr>
        <w:spacing w:after="0" w:line="240" w:lineRule="auto"/>
      </w:pPr>
      <w:r>
        <w:separator/>
      </w:r>
    </w:p>
  </w:footnote>
  <w:footnote w:type="continuationSeparator" w:id="0">
    <w:p w14:paraId="3C9DB42B" w14:textId="77777777" w:rsidR="00B2183A" w:rsidRDefault="00B218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FFAE9" w14:textId="0317D0EE" w:rsidR="00961C2C" w:rsidRDefault="00961C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50C0A" w14:textId="43B6EEC3" w:rsidR="00961C2C" w:rsidRDefault="00961C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F4B67" w14:textId="51CB6613" w:rsidR="00961C2C" w:rsidRDefault="00961C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E5096"/>
    <w:multiLevelType w:val="hybridMultilevel"/>
    <w:tmpl w:val="A01E13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6D3B73"/>
    <w:multiLevelType w:val="hybridMultilevel"/>
    <w:tmpl w:val="BBEAAE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CD48C0"/>
    <w:multiLevelType w:val="hybridMultilevel"/>
    <w:tmpl w:val="4B3CA5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C86AF3"/>
    <w:multiLevelType w:val="hybridMultilevel"/>
    <w:tmpl w:val="7FA0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B659CE"/>
    <w:multiLevelType w:val="hybridMultilevel"/>
    <w:tmpl w:val="0B18035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C33F5F"/>
    <w:multiLevelType w:val="hybridMultilevel"/>
    <w:tmpl w:val="E4B45C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7611D0"/>
    <w:multiLevelType w:val="hybridMultilevel"/>
    <w:tmpl w:val="1BA84084"/>
    <w:lvl w:ilvl="0" w:tplc="7BF85DA6">
      <w:numFmt w:val="bullet"/>
      <w:lvlText w:val="-"/>
      <w:lvlJc w:val="left"/>
      <w:pPr>
        <w:ind w:left="720" w:hanging="360"/>
      </w:pPr>
      <w:rPr>
        <w:rFonts w:ascii="Palatino Linotype" w:eastAsia="MS Mincho"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1673AA"/>
    <w:multiLevelType w:val="hybridMultilevel"/>
    <w:tmpl w:val="1862CF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E9403D"/>
    <w:multiLevelType w:val="hybridMultilevel"/>
    <w:tmpl w:val="5B7C1ABC"/>
    <w:lvl w:ilvl="0" w:tplc="01F0B6EC">
      <w:start w:val="1"/>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68848E9"/>
    <w:multiLevelType w:val="hybridMultilevel"/>
    <w:tmpl w:val="90D6D384"/>
    <w:lvl w:ilvl="0" w:tplc="CEC26A0E">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F12EE6"/>
    <w:multiLevelType w:val="hybridMultilevel"/>
    <w:tmpl w:val="08CE355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0E5BE1"/>
    <w:multiLevelType w:val="hybridMultilevel"/>
    <w:tmpl w:val="BDAAC7A0"/>
    <w:lvl w:ilvl="0" w:tplc="FFFFFFFF">
      <w:start w:val="1"/>
      <w:numFmt w:val="lowerLetter"/>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9"/>
  </w:num>
  <w:num w:numId="2">
    <w:abstractNumId w:val="7"/>
  </w:num>
  <w:num w:numId="3">
    <w:abstractNumId w:val="5"/>
  </w:num>
  <w:num w:numId="4">
    <w:abstractNumId w:val="0"/>
  </w:num>
  <w:num w:numId="5">
    <w:abstractNumId w:val="4"/>
  </w:num>
  <w:num w:numId="6">
    <w:abstractNumId w:val="1"/>
  </w:num>
  <w:num w:numId="7">
    <w:abstractNumId w:val="2"/>
  </w:num>
  <w:num w:numId="8">
    <w:abstractNumId w:val="3"/>
  </w:num>
  <w:num w:numId="9">
    <w:abstractNumId w:val="11"/>
  </w:num>
  <w:num w:numId="10">
    <w:abstractNumId w:val="1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F5F"/>
    <w:rsid w:val="000035C1"/>
    <w:rsid w:val="00051467"/>
    <w:rsid w:val="00061012"/>
    <w:rsid w:val="00066080"/>
    <w:rsid w:val="000B418F"/>
    <w:rsid w:val="000E0EF0"/>
    <w:rsid w:val="001305F7"/>
    <w:rsid w:val="00160A3B"/>
    <w:rsid w:val="00170C5B"/>
    <w:rsid w:val="001C3F6C"/>
    <w:rsid w:val="001F5592"/>
    <w:rsid w:val="00220C09"/>
    <w:rsid w:val="00225EEC"/>
    <w:rsid w:val="0025200C"/>
    <w:rsid w:val="00271C1D"/>
    <w:rsid w:val="002B72D2"/>
    <w:rsid w:val="002C5CA2"/>
    <w:rsid w:val="002D1D40"/>
    <w:rsid w:val="00301EEC"/>
    <w:rsid w:val="00320754"/>
    <w:rsid w:val="003350D2"/>
    <w:rsid w:val="0037500E"/>
    <w:rsid w:val="00396CEE"/>
    <w:rsid w:val="00397B57"/>
    <w:rsid w:val="003C2583"/>
    <w:rsid w:val="003C7A7F"/>
    <w:rsid w:val="003E1B49"/>
    <w:rsid w:val="003F6ECA"/>
    <w:rsid w:val="0043211E"/>
    <w:rsid w:val="004772D1"/>
    <w:rsid w:val="004B42BC"/>
    <w:rsid w:val="004F2A30"/>
    <w:rsid w:val="00537662"/>
    <w:rsid w:val="005679AA"/>
    <w:rsid w:val="005907D1"/>
    <w:rsid w:val="005B1A1C"/>
    <w:rsid w:val="006417EF"/>
    <w:rsid w:val="006729B3"/>
    <w:rsid w:val="00693B79"/>
    <w:rsid w:val="006A357A"/>
    <w:rsid w:val="006A4F5F"/>
    <w:rsid w:val="006F0FE6"/>
    <w:rsid w:val="006F311D"/>
    <w:rsid w:val="0070512F"/>
    <w:rsid w:val="00707ACB"/>
    <w:rsid w:val="0071184A"/>
    <w:rsid w:val="00766465"/>
    <w:rsid w:val="00767982"/>
    <w:rsid w:val="00783669"/>
    <w:rsid w:val="00805724"/>
    <w:rsid w:val="00806C59"/>
    <w:rsid w:val="008276AF"/>
    <w:rsid w:val="00830BCF"/>
    <w:rsid w:val="00865826"/>
    <w:rsid w:val="00870E3F"/>
    <w:rsid w:val="008822B2"/>
    <w:rsid w:val="00886431"/>
    <w:rsid w:val="008C0EBE"/>
    <w:rsid w:val="008C5A07"/>
    <w:rsid w:val="008D073A"/>
    <w:rsid w:val="008F3191"/>
    <w:rsid w:val="00911EF1"/>
    <w:rsid w:val="0091686D"/>
    <w:rsid w:val="00926159"/>
    <w:rsid w:val="00934552"/>
    <w:rsid w:val="00961C2C"/>
    <w:rsid w:val="00970ED3"/>
    <w:rsid w:val="00984AA1"/>
    <w:rsid w:val="0099434F"/>
    <w:rsid w:val="009A7550"/>
    <w:rsid w:val="009B3DAB"/>
    <w:rsid w:val="009B78AF"/>
    <w:rsid w:val="009F5677"/>
    <w:rsid w:val="00A00987"/>
    <w:rsid w:val="00A43C28"/>
    <w:rsid w:val="00A47EF0"/>
    <w:rsid w:val="00A61D7D"/>
    <w:rsid w:val="00A65E77"/>
    <w:rsid w:val="00A728F8"/>
    <w:rsid w:val="00A73EA0"/>
    <w:rsid w:val="00A8252D"/>
    <w:rsid w:val="00AA575B"/>
    <w:rsid w:val="00B03C64"/>
    <w:rsid w:val="00B2183A"/>
    <w:rsid w:val="00B64C44"/>
    <w:rsid w:val="00BB19AB"/>
    <w:rsid w:val="00BD6706"/>
    <w:rsid w:val="00BE09BF"/>
    <w:rsid w:val="00BF7F4E"/>
    <w:rsid w:val="00C13064"/>
    <w:rsid w:val="00C2331D"/>
    <w:rsid w:val="00C43A74"/>
    <w:rsid w:val="00C501FA"/>
    <w:rsid w:val="00C931C2"/>
    <w:rsid w:val="00C947CC"/>
    <w:rsid w:val="00CA26BE"/>
    <w:rsid w:val="00D300CE"/>
    <w:rsid w:val="00D3139A"/>
    <w:rsid w:val="00D441D1"/>
    <w:rsid w:val="00DB2B98"/>
    <w:rsid w:val="00DC7C51"/>
    <w:rsid w:val="00DE3E03"/>
    <w:rsid w:val="00E100E0"/>
    <w:rsid w:val="00E176ED"/>
    <w:rsid w:val="00E322D1"/>
    <w:rsid w:val="00E8340D"/>
    <w:rsid w:val="00EA2F73"/>
    <w:rsid w:val="00EB4F70"/>
    <w:rsid w:val="00ED3368"/>
    <w:rsid w:val="00F06AFD"/>
    <w:rsid w:val="00F11966"/>
    <w:rsid w:val="00F657B7"/>
    <w:rsid w:val="00F70B51"/>
    <w:rsid w:val="00F716FB"/>
    <w:rsid w:val="00FB436B"/>
    <w:rsid w:val="00FE7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E4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A4F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paragraph">
    <w:name w:val="article__paragraph"/>
    <w:basedOn w:val="Normal"/>
    <w:rsid w:val="006A4F5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A4F5F"/>
    <w:rPr>
      <w:color w:val="0000FF"/>
      <w:u w:val="single"/>
    </w:rPr>
  </w:style>
  <w:style w:type="character" w:customStyle="1" w:styleId="catchertitle">
    <w:name w:val="catcher__title"/>
    <w:basedOn w:val="DefaultParagraphFont"/>
    <w:rsid w:val="006A4F5F"/>
  </w:style>
  <w:style w:type="character" w:customStyle="1" w:styleId="catcherdesc">
    <w:name w:val="catcher__desc"/>
    <w:basedOn w:val="DefaultParagraphFont"/>
    <w:rsid w:val="006A4F5F"/>
  </w:style>
  <w:style w:type="character" w:customStyle="1" w:styleId="sr-only">
    <w:name w:val="sr-only"/>
    <w:basedOn w:val="DefaultParagraphFont"/>
    <w:rsid w:val="006A4F5F"/>
  </w:style>
  <w:style w:type="character" w:styleId="Emphasis">
    <w:name w:val="Emphasis"/>
    <w:basedOn w:val="DefaultParagraphFont"/>
    <w:uiPriority w:val="20"/>
    <w:qFormat/>
    <w:rsid w:val="006A4F5F"/>
    <w:rPr>
      <w:i/>
      <w:iCs/>
    </w:rPr>
  </w:style>
  <w:style w:type="character" w:customStyle="1" w:styleId="Heading2Char">
    <w:name w:val="Heading 2 Char"/>
    <w:basedOn w:val="DefaultParagraphFont"/>
    <w:link w:val="Heading2"/>
    <w:uiPriority w:val="9"/>
    <w:rsid w:val="006A4F5F"/>
    <w:rPr>
      <w:rFonts w:ascii="Times New Roman" w:eastAsia="Times New Roman" w:hAnsi="Times New Roman" w:cs="Times New Roman"/>
      <w:b/>
      <w:bCs/>
      <w:sz w:val="36"/>
      <w:szCs w:val="36"/>
    </w:rPr>
  </w:style>
  <w:style w:type="paragraph" w:styleId="NormalWeb">
    <w:name w:val="Normal (Web)"/>
    <w:basedOn w:val="Normal"/>
    <w:uiPriority w:val="99"/>
    <w:unhideWhenUsed/>
    <w:rsid w:val="006A4F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ption1">
    <w:name w:val="Caption1"/>
    <w:basedOn w:val="DefaultParagraphFont"/>
    <w:rsid w:val="006A4F5F"/>
  </w:style>
  <w:style w:type="character" w:customStyle="1" w:styleId="source">
    <w:name w:val="source"/>
    <w:basedOn w:val="DefaultParagraphFont"/>
    <w:rsid w:val="006A4F5F"/>
  </w:style>
  <w:style w:type="paragraph" w:customStyle="1" w:styleId="t-contentchapo">
    <w:name w:val="t-content__chapo"/>
    <w:basedOn w:val="Normal"/>
    <w:rsid w:val="00A61D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block-adlabeltext">
    <w:name w:val="m-block-ad__label__text"/>
    <w:basedOn w:val="DefaultParagraphFont"/>
    <w:rsid w:val="00A61D7D"/>
  </w:style>
  <w:style w:type="paragraph" w:customStyle="1" w:styleId="m-em-audioshow-infosemission">
    <w:name w:val="m-em-audio__show-infos__emission"/>
    <w:basedOn w:val="Normal"/>
    <w:rsid w:val="00A61D7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313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39A"/>
  </w:style>
  <w:style w:type="paragraph" w:styleId="Footer">
    <w:name w:val="footer"/>
    <w:basedOn w:val="Normal"/>
    <w:link w:val="FooterChar"/>
    <w:uiPriority w:val="99"/>
    <w:unhideWhenUsed/>
    <w:rsid w:val="00D3139A"/>
    <w:pPr>
      <w:tabs>
        <w:tab w:val="center" w:pos="4680"/>
        <w:tab w:val="right" w:pos="9360"/>
      </w:tabs>
      <w:spacing w:after="0" w:line="240" w:lineRule="auto"/>
    </w:pPr>
    <w:rPr>
      <w:lang w:val="fr-FR"/>
    </w:rPr>
  </w:style>
  <w:style w:type="character" w:customStyle="1" w:styleId="FooterChar">
    <w:name w:val="Footer Char"/>
    <w:basedOn w:val="DefaultParagraphFont"/>
    <w:link w:val="Footer"/>
    <w:uiPriority w:val="99"/>
    <w:rsid w:val="00D3139A"/>
    <w:rPr>
      <w:lang w:val="fr-FR"/>
    </w:rPr>
  </w:style>
  <w:style w:type="paragraph" w:styleId="NoSpacing">
    <w:name w:val="No Spacing"/>
    <w:uiPriority w:val="1"/>
    <w:qFormat/>
    <w:rsid w:val="00D3139A"/>
    <w:pPr>
      <w:spacing w:after="0" w:line="240" w:lineRule="auto"/>
    </w:pPr>
    <w:rPr>
      <w:lang w:val="fr-FR"/>
    </w:rPr>
  </w:style>
  <w:style w:type="paragraph" w:styleId="ListParagraph">
    <w:name w:val="List Paragraph"/>
    <w:basedOn w:val="Normal"/>
    <w:uiPriority w:val="34"/>
    <w:qFormat/>
    <w:rsid w:val="00BE09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A4F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paragraph">
    <w:name w:val="article__paragraph"/>
    <w:basedOn w:val="Normal"/>
    <w:rsid w:val="006A4F5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A4F5F"/>
    <w:rPr>
      <w:color w:val="0000FF"/>
      <w:u w:val="single"/>
    </w:rPr>
  </w:style>
  <w:style w:type="character" w:customStyle="1" w:styleId="catchertitle">
    <w:name w:val="catcher__title"/>
    <w:basedOn w:val="DefaultParagraphFont"/>
    <w:rsid w:val="006A4F5F"/>
  </w:style>
  <w:style w:type="character" w:customStyle="1" w:styleId="catcherdesc">
    <w:name w:val="catcher__desc"/>
    <w:basedOn w:val="DefaultParagraphFont"/>
    <w:rsid w:val="006A4F5F"/>
  </w:style>
  <w:style w:type="character" w:customStyle="1" w:styleId="sr-only">
    <w:name w:val="sr-only"/>
    <w:basedOn w:val="DefaultParagraphFont"/>
    <w:rsid w:val="006A4F5F"/>
  </w:style>
  <w:style w:type="character" w:styleId="Emphasis">
    <w:name w:val="Emphasis"/>
    <w:basedOn w:val="DefaultParagraphFont"/>
    <w:uiPriority w:val="20"/>
    <w:qFormat/>
    <w:rsid w:val="006A4F5F"/>
    <w:rPr>
      <w:i/>
      <w:iCs/>
    </w:rPr>
  </w:style>
  <w:style w:type="character" w:customStyle="1" w:styleId="Heading2Char">
    <w:name w:val="Heading 2 Char"/>
    <w:basedOn w:val="DefaultParagraphFont"/>
    <w:link w:val="Heading2"/>
    <w:uiPriority w:val="9"/>
    <w:rsid w:val="006A4F5F"/>
    <w:rPr>
      <w:rFonts w:ascii="Times New Roman" w:eastAsia="Times New Roman" w:hAnsi="Times New Roman" w:cs="Times New Roman"/>
      <w:b/>
      <w:bCs/>
      <w:sz w:val="36"/>
      <w:szCs w:val="36"/>
    </w:rPr>
  </w:style>
  <w:style w:type="paragraph" w:styleId="NormalWeb">
    <w:name w:val="Normal (Web)"/>
    <w:basedOn w:val="Normal"/>
    <w:uiPriority w:val="99"/>
    <w:unhideWhenUsed/>
    <w:rsid w:val="006A4F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ption1">
    <w:name w:val="Caption1"/>
    <w:basedOn w:val="DefaultParagraphFont"/>
    <w:rsid w:val="006A4F5F"/>
  </w:style>
  <w:style w:type="character" w:customStyle="1" w:styleId="source">
    <w:name w:val="source"/>
    <w:basedOn w:val="DefaultParagraphFont"/>
    <w:rsid w:val="006A4F5F"/>
  </w:style>
  <w:style w:type="paragraph" w:customStyle="1" w:styleId="t-contentchapo">
    <w:name w:val="t-content__chapo"/>
    <w:basedOn w:val="Normal"/>
    <w:rsid w:val="00A61D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block-adlabeltext">
    <w:name w:val="m-block-ad__label__text"/>
    <w:basedOn w:val="DefaultParagraphFont"/>
    <w:rsid w:val="00A61D7D"/>
  </w:style>
  <w:style w:type="paragraph" w:customStyle="1" w:styleId="m-em-audioshow-infosemission">
    <w:name w:val="m-em-audio__show-infos__emission"/>
    <w:basedOn w:val="Normal"/>
    <w:rsid w:val="00A61D7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313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39A"/>
  </w:style>
  <w:style w:type="paragraph" w:styleId="Footer">
    <w:name w:val="footer"/>
    <w:basedOn w:val="Normal"/>
    <w:link w:val="FooterChar"/>
    <w:uiPriority w:val="99"/>
    <w:unhideWhenUsed/>
    <w:rsid w:val="00D3139A"/>
    <w:pPr>
      <w:tabs>
        <w:tab w:val="center" w:pos="4680"/>
        <w:tab w:val="right" w:pos="9360"/>
      </w:tabs>
      <w:spacing w:after="0" w:line="240" w:lineRule="auto"/>
    </w:pPr>
    <w:rPr>
      <w:lang w:val="fr-FR"/>
    </w:rPr>
  </w:style>
  <w:style w:type="character" w:customStyle="1" w:styleId="FooterChar">
    <w:name w:val="Footer Char"/>
    <w:basedOn w:val="DefaultParagraphFont"/>
    <w:link w:val="Footer"/>
    <w:uiPriority w:val="99"/>
    <w:rsid w:val="00D3139A"/>
    <w:rPr>
      <w:lang w:val="fr-FR"/>
    </w:rPr>
  </w:style>
  <w:style w:type="paragraph" w:styleId="NoSpacing">
    <w:name w:val="No Spacing"/>
    <w:uiPriority w:val="1"/>
    <w:qFormat/>
    <w:rsid w:val="00D3139A"/>
    <w:pPr>
      <w:spacing w:after="0" w:line="240" w:lineRule="auto"/>
    </w:pPr>
    <w:rPr>
      <w:lang w:val="fr-FR"/>
    </w:rPr>
  </w:style>
  <w:style w:type="paragraph" w:styleId="ListParagraph">
    <w:name w:val="List Paragraph"/>
    <w:basedOn w:val="Normal"/>
    <w:uiPriority w:val="34"/>
    <w:qFormat/>
    <w:rsid w:val="00BE09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86796">
      <w:bodyDiv w:val="1"/>
      <w:marLeft w:val="0"/>
      <w:marRight w:val="0"/>
      <w:marTop w:val="0"/>
      <w:marBottom w:val="0"/>
      <w:divBdr>
        <w:top w:val="none" w:sz="0" w:space="0" w:color="auto"/>
        <w:left w:val="none" w:sz="0" w:space="0" w:color="auto"/>
        <w:bottom w:val="none" w:sz="0" w:space="0" w:color="auto"/>
        <w:right w:val="none" w:sz="0" w:space="0" w:color="auto"/>
      </w:divBdr>
    </w:div>
    <w:div w:id="737091362">
      <w:bodyDiv w:val="1"/>
      <w:marLeft w:val="0"/>
      <w:marRight w:val="0"/>
      <w:marTop w:val="0"/>
      <w:marBottom w:val="0"/>
      <w:divBdr>
        <w:top w:val="none" w:sz="0" w:space="0" w:color="auto"/>
        <w:left w:val="none" w:sz="0" w:space="0" w:color="auto"/>
        <w:bottom w:val="none" w:sz="0" w:space="0" w:color="auto"/>
        <w:right w:val="none" w:sz="0" w:space="0" w:color="auto"/>
      </w:divBdr>
      <w:divsChild>
        <w:div w:id="1990280274">
          <w:marLeft w:val="0"/>
          <w:marRight w:val="0"/>
          <w:marTop w:val="0"/>
          <w:marBottom w:val="0"/>
          <w:divBdr>
            <w:top w:val="none" w:sz="0" w:space="0" w:color="auto"/>
            <w:left w:val="none" w:sz="0" w:space="0" w:color="auto"/>
            <w:bottom w:val="none" w:sz="0" w:space="0" w:color="auto"/>
            <w:right w:val="none" w:sz="0" w:space="0" w:color="auto"/>
          </w:divBdr>
        </w:div>
      </w:divsChild>
    </w:div>
    <w:div w:id="1032151029">
      <w:bodyDiv w:val="1"/>
      <w:marLeft w:val="0"/>
      <w:marRight w:val="0"/>
      <w:marTop w:val="0"/>
      <w:marBottom w:val="0"/>
      <w:divBdr>
        <w:top w:val="none" w:sz="0" w:space="0" w:color="auto"/>
        <w:left w:val="none" w:sz="0" w:space="0" w:color="auto"/>
        <w:bottom w:val="none" w:sz="0" w:space="0" w:color="auto"/>
        <w:right w:val="none" w:sz="0" w:space="0" w:color="auto"/>
      </w:divBdr>
    </w:div>
    <w:div w:id="1268075729">
      <w:bodyDiv w:val="1"/>
      <w:marLeft w:val="0"/>
      <w:marRight w:val="0"/>
      <w:marTop w:val="0"/>
      <w:marBottom w:val="0"/>
      <w:divBdr>
        <w:top w:val="none" w:sz="0" w:space="0" w:color="auto"/>
        <w:left w:val="none" w:sz="0" w:space="0" w:color="auto"/>
        <w:bottom w:val="none" w:sz="0" w:space="0" w:color="auto"/>
        <w:right w:val="none" w:sz="0" w:space="0" w:color="auto"/>
      </w:divBdr>
      <w:divsChild>
        <w:div w:id="1583484594">
          <w:marLeft w:val="0"/>
          <w:marRight w:val="0"/>
          <w:marTop w:val="0"/>
          <w:marBottom w:val="300"/>
          <w:divBdr>
            <w:top w:val="none" w:sz="0" w:space="0" w:color="auto"/>
            <w:left w:val="none" w:sz="0" w:space="0" w:color="auto"/>
            <w:bottom w:val="none" w:sz="0" w:space="0" w:color="auto"/>
            <w:right w:val="none" w:sz="0" w:space="0" w:color="auto"/>
          </w:divBdr>
          <w:divsChild>
            <w:div w:id="1027832169">
              <w:marLeft w:val="0"/>
              <w:marRight w:val="0"/>
              <w:marTop w:val="0"/>
              <w:marBottom w:val="420"/>
              <w:divBdr>
                <w:top w:val="none" w:sz="0" w:space="0" w:color="auto"/>
                <w:left w:val="none" w:sz="0" w:space="0" w:color="auto"/>
                <w:bottom w:val="none" w:sz="0" w:space="0" w:color="auto"/>
                <w:right w:val="none" w:sz="0" w:space="0" w:color="auto"/>
              </w:divBdr>
              <w:divsChild>
                <w:div w:id="1681396509">
                  <w:marLeft w:val="0"/>
                  <w:marRight w:val="0"/>
                  <w:marTop w:val="0"/>
                  <w:marBottom w:val="0"/>
                  <w:divBdr>
                    <w:top w:val="none" w:sz="0" w:space="0" w:color="auto"/>
                    <w:left w:val="none" w:sz="0" w:space="0" w:color="auto"/>
                    <w:bottom w:val="none" w:sz="0" w:space="0" w:color="auto"/>
                    <w:right w:val="none" w:sz="0" w:space="0" w:color="auto"/>
                  </w:divBdr>
                </w:div>
              </w:divsChild>
            </w:div>
            <w:div w:id="1320884078">
              <w:marLeft w:val="0"/>
              <w:marRight w:val="0"/>
              <w:marTop w:val="0"/>
              <w:marBottom w:val="0"/>
              <w:divBdr>
                <w:top w:val="none" w:sz="0" w:space="0" w:color="auto"/>
                <w:left w:val="none" w:sz="0" w:space="0" w:color="auto"/>
                <w:bottom w:val="none" w:sz="0" w:space="0" w:color="auto"/>
                <w:right w:val="none" w:sz="0" w:space="0" w:color="auto"/>
              </w:divBdr>
              <w:divsChild>
                <w:div w:id="178978995">
                  <w:marLeft w:val="0"/>
                  <w:marRight w:val="0"/>
                  <w:marTop w:val="0"/>
                  <w:marBottom w:val="0"/>
                  <w:divBdr>
                    <w:top w:val="none" w:sz="0" w:space="0" w:color="auto"/>
                    <w:left w:val="none" w:sz="0" w:space="0" w:color="auto"/>
                    <w:bottom w:val="none" w:sz="0" w:space="0" w:color="auto"/>
                    <w:right w:val="none" w:sz="0" w:space="0" w:color="auto"/>
                  </w:divBdr>
                  <w:divsChild>
                    <w:div w:id="91647855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37A5B-B42F-4D21-BBBF-3BC64D95D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1143</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marckenson jean</dc:creator>
  <cp:lastModifiedBy>UGPADMIN</cp:lastModifiedBy>
  <cp:revision>3</cp:revision>
  <dcterms:created xsi:type="dcterms:W3CDTF">2022-09-01T16:26:00Z</dcterms:created>
  <dcterms:modified xsi:type="dcterms:W3CDTF">2022-09-01T16:34:00Z</dcterms:modified>
</cp:coreProperties>
</file>