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744B2" w14:textId="046632FC" w:rsidR="002139C6" w:rsidRPr="000F7722" w:rsidRDefault="00E956A5" w:rsidP="007C4AA9">
      <w:pPr>
        <w:jc w:val="center"/>
        <w:rPr>
          <w:sz w:val="22"/>
          <w:szCs w:val="22"/>
        </w:rPr>
      </w:pPr>
      <w:r>
        <w:rPr>
          <w:noProof/>
          <w:sz w:val="22"/>
          <w:szCs w:val="22"/>
        </w:rPr>
        <w:pict w14:anchorId="58DBE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31" type="#_x0000_t75" style="position:absolute;left:0;text-align:left;margin-left:-10.5pt;margin-top:-41.15pt;width:77.55pt;height:59.55pt;z-index:251659264;visibility:visible">
            <v:imagedata r:id="rId8" o:title=""/>
          </v:shape>
        </w:pict>
      </w:r>
      <w:r>
        <w:rPr>
          <w:noProof/>
          <w:sz w:val="22"/>
          <w:szCs w:val="22"/>
        </w:rPr>
        <w:pict w14:anchorId="60A6B6F8">
          <v:shape id="Image 26" o:spid="_x0000_s1032" type="#_x0000_t75" style="position:absolute;left:0;text-align:left;margin-left:400.05pt;margin-top:-40.5pt;width:81.3pt;height:53.65pt;z-index:251660288;visibility:visible">
            <v:imagedata r:id="rId9" o:title=""/>
          </v:shape>
        </w:pict>
      </w:r>
      <w:r>
        <w:rPr>
          <w:b/>
          <w:noProof/>
          <w:snapToGrid/>
          <w:sz w:val="22"/>
          <w:szCs w:val="22"/>
          <w:lang w:bidi="ar-SA"/>
        </w:rPr>
        <w:pict w14:anchorId="3CA7978A">
          <v:shape id="Image 155" o:spid="_x0000_s1036" type="#_x0000_t75" style="position:absolute;left:0;text-align:left;margin-left:14.9pt;margin-top:17.4pt;width:437.6pt;height:70.15pt;z-index:251661312;visibility:visible;mso-position-horizontal-relative:margin;mso-position-vertical-relative:margin">
            <v:imagedata r:id="rId10" o:title=""/>
            <w10:wrap type="square" anchorx="margin" anchory="margin"/>
          </v:shape>
        </w:pict>
      </w:r>
      <w:r w:rsidR="007C4AA9" w:rsidRPr="000F7722">
        <w:rPr>
          <w:sz w:val="22"/>
          <w:szCs w:val="22"/>
        </w:rPr>
        <w:br/>
      </w:r>
    </w:p>
    <w:p w14:paraId="1603D921" w14:textId="77777777" w:rsidR="002139C6" w:rsidRPr="000F7722" w:rsidRDefault="00E956A5">
      <w:pPr>
        <w:jc w:val="center"/>
        <w:rPr>
          <w:b/>
          <w:sz w:val="22"/>
          <w:szCs w:val="22"/>
        </w:rPr>
      </w:pPr>
      <w:r>
        <w:rPr>
          <w:snapToGrid/>
          <w:sz w:val="22"/>
          <w:szCs w:val="22"/>
        </w:rPr>
        <w:pict w14:anchorId="59B32A87">
          <v:line id="_x0000_s1028" style="position:absolute;left:0;text-align:left;z-index:251656192" from="-4.5pt,2.2pt" to="463.5pt,2.25pt" o:allowincell="f" strokecolor="#d4d4d4" strokeweight="1.75pt">
            <v:shadow on="t" origin=",32385f" offset="0,-1pt"/>
          </v:line>
        </w:pict>
      </w:r>
      <w:r w:rsidR="00FD5C41" w:rsidRPr="000F7722">
        <w:rPr>
          <w:b/>
          <w:sz w:val="22"/>
          <w:szCs w:val="22"/>
        </w:rPr>
        <w:t>AVIS DE MARCHÉ DE TRAVAUX</w:t>
      </w:r>
    </w:p>
    <w:p w14:paraId="2CAD7CB7" w14:textId="77777777" w:rsidR="002139C6" w:rsidRPr="000F7722" w:rsidRDefault="00EC63B9">
      <w:pPr>
        <w:jc w:val="center"/>
        <w:rPr>
          <w:rStyle w:val="lev"/>
          <w:sz w:val="22"/>
          <w:szCs w:val="22"/>
        </w:rPr>
      </w:pPr>
      <w:r w:rsidRPr="000F7722">
        <w:rPr>
          <w:b/>
          <w:sz w:val="22"/>
          <w:szCs w:val="22"/>
          <w:lang w:eastAsia="en-GB"/>
        </w:rPr>
        <w:t>T</w:t>
      </w:r>
      <w:r w:rsidR="00CF3F45" w:rsidRPr="000F7722">
        <w:rPr>
          <w:b/>
          <w:sz w:val="22"/>
          <w:szCs w:val="22"/>
          <w:lang w:eastAsia="en-GB"/>
        </w:rPr>
        <w:t>ravaux de réhabilitation des périmètres irrigués de Camars et de David, commune de Gros Morne, département de l’Artibonite (Haïti).</w:t>
      </w:r>
      <w:r w:rsidR="00CF3F45" w:rsidRPr="000F7722">
        <w:rPr>
          <w:rStyle w:val="lev"/>
          <w:sz w:val="22"/>
          <w:szCs w:val="22"/>
        </w:rPr>
        <w:t xml:space="preserve"> </w:t>
      </w:r>
    </w:p>
    <w:p w14:paraId="16963506" w14:textId="77777777" w:rsidR="005E63ED" w:rsidRPr="000F7722" w:rsidRDefault="005E63ED" w:rsidP="005E63ED">
      <w:pPr>
        <w:ind w:left="284"/>
        <w:jc w:val="both"/>
        <w:outlineLvl w:val="0"/>
        <w:rPr>
          <w:rStyle w:val="lev"/>
          <w:b w:val="0"/>
          <w:sz w:val="22"/>
          <w:szCs w:val="22"/>
        </w:rPr>
      </w:pPr>
    </w:p>
    <w:p w14:paraId="1B7CF808" w14:textId="77777777" w:rsidR="002139C6" w:rsidRPr="000F7722" w:rsidRDefault="005D55FE" w:rsidP="00805EFA">
      <w:pPr>
        <w:pStyle w:val="PRAGHeading2"/>
        <w:rPr>
          <w:rStyle w:val="lev"/>
          <w:sz w:val="22"/>
          <w:szCs w:val="22"/>
        </w:rPr>
      </w:pPr>
      <w:r w:rsidRPr="000F7722">
        <w:rPr>
          <w:rStyle w:val="lev"/>
          <w:sz w:val="22"/>
          <w:szCs w:val="22"/>
        </w:rPr>
        <w:t>Référence de la publication</w:t>
      </w:r>
    </w:p>
    <w:p w14:paraId="2443FE02" w14:textId="77777777" w:rsidR="002139C6" w:rsidRPr="000F7722" w:rsidRDefault="005D55FE" w:rsidP="00805EFA">
      <w:pPr>
        <w:ind w:left="709"/>
        <w:rPr>
          <w:sz w:val="22"/>
          <w:szCs w:val="22"/>
        </w:rPr>
      </w:pPr>
      <w:r w:rsidRPr="000F7722">
        <w:rPr>
          <w:sz w:val="22"/>
          <w:szCs w:val="22"/>
        </w:rPr>
        <w:t>DAO/No. 2/PASAN-APROS/Réhabilitation Périmètres/2022</w:t>
      </w:r>
      <w:r w:rsidR="00721E50" w:rsidRPr="000F7722">
        <w:rPr>
          <w:sz w:val="22"/>
          <w:szCs w:val="22"/>
        </w:rPr>
        <w:t xml:space="preserve">  </w:t>
      </w:r>
    </w:p>
    <w:p w14:paraId="5F7467EB" w14:textId="77777777" w:rsidR="002139C6" w:rsidRPr="000F7722" w:rsidRDefault="005D55FE" w:rsidP="00805EFA">
      <w:pPr>
        <w:pStyle w:val="PRAGHeading2"/>
        <w:rPr>
          <w:rStyle w:val="lev"/>
          <w:sz w:val="22"/>
          <w:szCs w:val="22"/>
        </w:rPr>
      </w:pPr>
      <w:r w:rsidRPr="000F7722">
        <w:rPr>
          <w:rStyle w:val="lev"/>
          <w:sz w:val="22"/>
          <w:szCs w:val="22"/>
        </w:rPr>
        <w:t>Procédure</w:t>
      </w:r>
    </w:p>
    <w:p w14:paraId="0FC3905E" w14:textId="77777777" w:rsidR="00B76C69" w:rsidRPr="000F7722" w:rsidRDefault="00B76C69" w:rsidP="004C69BC">
      <w:pPr>
        <w:pStyle w:val="PRAGHeading2"/>
        <w:numPr>
          <w:ilvl w:val="0"/>
          <w:numId w:val="0"/>
        </w:numPr>
        <w:ind w:left="709"/>
        <w:rPr>
          <w:sz w:val="22"/>
          <w:szCs w:val="22"/>
        </w:rPr>
      </w:pPr>
      <w:r w:rsidRPr="000F7722">
        <w:rPr>
          <w:sz w:val="22"/>
          <w:szCs w:val="22"/>
        </w:rPr>
        <w:t xml:space="preserve">Ouverte </w:t>
      </w:r>
      <w:r w:rsidR="00721E50" w:rsidRPr="000F7722">
        <w:rPr>
          <w:sz w:val="22"/>
          <w:szCs w:val="22"/>
        </w:rPr>
        <w:t>locale</w:t>
      </w:r>
    </w:p>
    <w:p w14:paraId="5C863280" w14:textId="77777777" w:rsidR="002139C6" w:rsidRPr="000F7722" w:rsidRDefault="005D55FE" w:rsidP="000F7722">
      <w:pPr>
        <w:pStyle w:val="PRAGHeading2"/>
        <w:jc w:val="both"/>
        <w:rPr>
          <w:rStyle w:val="lev"/>
          <w:sz w:val="22"/>
          <w:szCs w:val="22"/>
        </w:rPr>
      </w:pPr>
      <w:r w:rsidRPr="000F7722">
        <w:rPr>
          <w:rStyle w:val="lev"/>
          <w:sz w:val="22"/>
          <w:szCs w:val="22"/>
        </w:rPr>
        <w:t>Intitulé du programme</w:t>
      </w:r>
    </w:p>
    <w:p w14:paraId="234C35DD" w14:textId="7EF1C90D" w:rsidR="00A95184" w:rsidRPr="000F7722" w:rsidRDefault="00721E50" w:rsidP="000F7722">
      <w:pPr>
        <w:pStyle w:val="PRAGHeading2"/>
        <w:numPr>
          <w:ilvl w:val="0"/>
          <w:numId w:val="0"/>
        </w:numPr>
        <w:ind w:left="709"/>
        <w:jc w:val="both"/>
        <w:rPr>
          <w:sz w:val="22"/>
          <w:szCs w:val="22"/>
        </w:rPr>
      </w:pPr>
      <w:r w:rsidRPr="000F7722">
        <w:rPr>
          <w:sz w:val="22"/>
          <w:szCs w:val="22"/>
        </w:rPr>
        <w:t xml:space="preserve">Projet </w:t>
      </w:r>
      <w:r w:rsidR="00DA712D" w:rsidRPr="000F7722">
        <w:rPr>
          <w:sz w:val="22"/>
          <w:szCs w:val="22"/>
        </w:rPr>
        <w:t xml:space="preserve">d’Amélioration </w:t>
      </w:r>
      <w:r w:rsidRPr="000F7722">
        <w:rPr>
          <w:sz w:val="22"/>
          <w:szCs w:val="22"/>
        </w:rPr>
        <w:t xml:space="preserve">de la </w:t>
      </w:r>
      <w:r w:rsidR="00DA712D" w:rsidRPr="000F7722">
        <w:rPr>
          <w:sz w:val="22"/>
          <w:szCs w:val="22"/>
        </w:rPr>
        <w:t xml:space="preserve">Sécurité Alimentaire </w:t>
      </w:r>
      <w:r w:rsidRPr="000F7722">
        <w:rPr>
          <w:sz w:val="22"/>
          <w:szCs w:val="22"/>
        </w:rPr>
        <w:t xml:space="preserve">et </w:t>
      </w:r>
      <w:r w:rsidR="00DA712D" w:rsidRPr="000F7722">
        <w:rPr>
          <w:sz w:val="22"/>
          <w:szCs w:val="22"/>
        </w:rPr>
        <w:t xml:space="preserve">Nutritionnelle </w:t>
      </w:r>
      <w:r w:rsidRPr="000F7722">
        <w:rPr>
          <w:sz w:val="22"/>
          <w:szCs w:val="22"/>
        </w:rPr>
        <w:t xml:space="preserve">et </w:t>
      </w:r>
      <w:r w:rsidR="00DA712D" w:rsidRPr="000F7722">
        <w:rPr>
          <w:sz w:val="22"/>
          <w:szCs w:val="22"/>
        </w:rPr>
        <w:t xml:space="preserve">d’Accès </w:t>
      </w:r>
      <w:r w:rsidRPr="000F7722">
        <w:rPr>
          <w:sz w:val="22"/>
          <w:szCs w:val="22"/>
        </w:rPr>
        <w:t xml:space="preserve">à la </w:t>
      </w:r>
      <w:r w:rsidR="00DA712D" w:rsidRPr="000F7722">
        <w:rPr>
          <w:sz w:val="22"/>
          <w:szCs w:val="22"/>
        </w:rPr>
        <w:t xml:space="preserve">Protection Sociale </w:t>
      </w:r>
      <w:r w:rsidRPr="000F7722">
        <w:rPr>
          <w:sz w:val="22"/>
          <w:szCs w:val="22"/>
        </w:rPr>
        <w:t>dans le bassin versant de Trois Rivières (Pasan-Apros) – n</w:t>
      </w:r>
      <w:r w:rsidRPr="000F7722">
        <w:rPr>
          <w:sz w:val="22"/>
          <w:szCs w:val="22"/>
          <w:vertAlign w:val="superscript"/>
        </w:rPr>
        <w:t>o</w:t>
      </w:r>
      <w:r w:rsidRPr="000F7722">
        <w:rPr>
          <w:sz w:val="22"/>
          <w:szCs w:val="22"/>
        </w:rPr>
        <w:t xml:space="preserve"> FED/2018/402-490. </w:t>
      </w:r>
    </w:p>
    <w:p w14:paraId="3DBB1F33" w14:textId="77777777" w:rsidR="002139C6" w:rsidRPr="000F7722" w:rsidRDefault="002139C6" w:rsidP="000F7722">
      <w:pPr>
        <w:pStyle w:val="PRAGHeading2"/>
        <w:jc w:val="both"/>
        <w:rPr>
          <w:rStyle w:val="lev"/>
          <w:sz w:val="22"/>
          <w:szCs w:val="22"/>
        </w:rPr>
      </w:pPr>
      <w:r w:rsidRPr="000F7722">
        <w:rPr>
          <w:rStyle w:val="lev"/>
          <w:sz w:val="22"/>
          <w:szCs w:val="22"/>
        </w:rPr>
        <w:t>Financement</w:t>
      </w:r>
    </w:p>
    <w:p w14:paraId="4EA8BF0B" w14:textId="5288861C" w:rsidR="002139C6" w:rsidRPr="000F7722" w:rsidRDefault="009459B3" w:rsidP="000F7722">
      <w:pPr>
        <w:ind w:left="709"/>
        <w:jc w:val="both"/>
        <w:rPr>
          <w:sz w:val="22"/>
          <w:szCs w:val="22"/>
          <w:lang w:val="en-US"/>
        </w:rPr>
      </w:pPr>
      <w:r w:rsidRPr="000F7722">
        <w:rPr>
          <w:sz w:val="22"/>
          <w:szCs w:val="22"/>
          <w:lang w:val="en-US"/>
        </w:rPr>
        <w:t xml:space="preserve">Programme </w:t>
      </w:r>
      <w:r w:rsidR="00CF616F" w:rsidRPr="000F7722">
        <w:rPr>
          <w:sz w:val="22"/>
          <w:szCs w:val="22"/>
          <w:lang w:val="en-US"/>
        </w:rPr>
        <w:t>PM</w:t>
      </w:r>
      <w:r w:rsidRPr="000F7722">
        <w:rPr>
          <w:sz w:val="22"/>
          <w:szCs w:val="22"/>
          <w:lang w:val="en-US"/>
        </w:rPr>
        <w:t xml:space="preserve">SAN </w:t>
      </w:r>
      <w:r w:rsidR="00DB04D7" w:rsidRPr="000F7722">
        <w:rPr>
          <w:sz w:val="22"/>
          <w:szCs w:val="22"/>
          <w:lang w:val="en-US"/>
        </w:rPr>
        <w:t xml:space="preserve">11ème </w:t>
      </w:r>
      <w:r w:rsidRPr="000F7722">
        <w:rPr>
          <w:sz w:val="22"/>
          <w:szCs w:val="22"/>
          <w:lang w:val="en-US"/>
        </w:rPr>
        <w:t>FED n</w:t>
      </w:r>
      <w:r w:rsidRPr="000F7722">
        <w:rPr>
          <w:sz w:val="22"/>
          <w:szCs w:val="22"/>
          <w:vertAlign w:val="superscript"/>
          <w:lang w:val="en-US"/>
        </w:rPr>
        <w:t>o</w:t>
      </w:r>
      <w:r w:rsidRPr="000F7722">
        <w:rPr>
          <w:sz w:val="22"/>
          <w:szCs w:val="22"/>
          <w:lang w:val="en-US"/>
        </w:rPr>
        <w:t xml:space="preserve"> FED/2016/39-097</w:t>
      </w:r>
    </w:p>
    <w:p w14:paraId="3AB5E8D4" w14:textId="77777777" w:rsidR="002139C6" w:rsidRPr="000F7722" w:rsidRDefault="002139C6" w:rsidP="00805EFA">
      <w:pPr>
        <w:pStyle w:val="PRAGHeading2"/>
        <w:rPr>
          <w:rStyle w:val="lev"/>
          <w:sz w:val="22"/>
          <w:szCs w:val="22"/>
        </w:rPr>
      </w:pPr>
      <w:r w:rsidRPr="000F7722">
        <w:rPr>
          <w:rStyle w:val="lev"/>
          <w:sz w:val="22"/>
          <w:szCs w:val="22"/>
        </w:rPr>
        <w:t>Maître d’ouvrage</w:t>
      </w:r>
    </w:p>
    <w:p w14:paraId="6FB1F311" w14:textId="77777777" w:rsidR="00A57CE2" w:rsidRPr="000F7722" w:rsidRDefault="001E23AC" w:rsidP="001F68E5">
      <w:pPr>
        <w:spacing w:before="0" w:after="0"/>
        <w:ind w:left="709"/>
        <w:rPr>
          <w:sz w:val="22"/>
          <w:szCs w:val="22"/>
        </w:rPr>
      </w:pPr>
      <w:r w:rsidRPr="000F7722" w:rsidDel="001E23AC">
        <w:rPr>
          <w:sz w:val="22"/>
          <w:szCs w:val="22"/>
        </w:rPr>
        <w:t xml:space="preserve"> </w:t>
      </w:r>
      <w:r w:rsidR="005D55FE" w:rsidRPr="000F7722">
        <w:rPr>
          <w:sz w:val="22"/>
          <w:szCs w:val="22"/>
        </w:rPr>
        <w:t xml:space="preserve">Le maitre d’ouvrage est la Direction </w:t>
      </w:r>
      <w:r w:rsidR="00A57CE2" w:rsidRPr="000F7722">
        <w:rPr>
          <w:sz w:val="22"/>
          <w:szCs w:val="22"/>
        </w:rPr>
        <w:t>Départementale</w:t>
      </w:r>
      <w:r w:rsidR="005D55FE" w:rsidRPr="000F7722">
        <w:rPr>
          <w:sz w:val="22"/>
          <w:szCs w:val="22"/>
        </w:rPr>
        <w:t xml:space="preserve"> Agricole de l’Artibonite</w:t>
      </w:r>
      <w:r w:rsidR="009459B3" w:rsidRPr="000F7722">
        <w:rPr>
          <w:sz w:val="22"/>
          <w:szCs w:val="22"/>
        </w:rPr>
        <w:t xml:space="preserve"> (DDAA) :</w:t>
      </w:r>
    </w:p>
    <w:p w14:paraId="18C6BC27" w14:textId="6FB99019" w:rsidR="009459B3" w:rsidRPr="000F7722" w:rsidRDefault="009459B3" w:rsidP="001F68E5">
      <w:pPr>
        <w:spacing w:before="0" w:after="0"/>
        <w:ind w:left="709"/>
        <w:jc w:val="center"/>
        <w:rPr>
          <w:sz w:val="22"/>
          <w:szCs w:val="22"/>
        </w:rPr>
      </w:pPr>
      <w:r w:rsidRPr="000F7722">
        <w:rPr>
          <w:sz w:val="22"/>
          <w:szCs w:val="22"/>
        </w:rPr>
        <w:t xml:space="preserve">Renaud </w:t>
      </w:r>
      <w:r w:rsidR="00DA712D" w:rsidRPr="000F7722">
        <w:rPr>
          <w:sz w:val="22"/>
          <w:szCs w:val="22"/>
        </w:rPr>
        <w:t>GENE</w:t>
      </w:r>
      <w:r w:rsidRPr="000F7722">
        <w:rPr>
          <w:sz w:val="22"/>
          <w:szCs w:val="22"/>
        </w:rPr>
        <w:t>, Directeur Départemental</w:t>
      </w:r>
    </w:p>
    <w:p w14:paraId="1B2CEA14" w14:textId="77777777" w:rsidR="009459B3" w:rsidRPr="000F7722" w:rsidRDefault="009459B3" w:rsidP="001F68E5">
      <w:pPr>
        <w:spacing w:before="0" w:after="0"/>
        <w:ind w:left="709"/>
        <w:jc w:val="center"/>
        <w:rPr>
          <w:sz w:val="22"/>
          <w:szCs w:val="22"/>
        </w:rPr>
      </w:pPr>
      <w:r w:rsidRPr="000F7722">
        <w:rPr>
          <w:sz w:val="22"/>
          <w:szCs w:val="22"/>
        </w:rPr>
        <w:t>8, Gattereau 25</w:t>
      </w:r>
    </w:p>
    <w:p w14:paraId="251CC6CD" w14:textId="77777777" w:rsidR="009459B3" w:rsidRPr="000F7722" w:rsidRDefault="009459B3" w:rsidP="001F68E5">
      <w:pPr>
        <w:spacing w:before="0" w:after="0"/>
        <w:ind w:left="709"/>
        <w:jc w:val="center"/>
        <w:rPr>
          <w:sz w:val="22"/>
          <w:szCs w:val="22"/>
        </w:rPr>
      </w:pPr>
      <w:r w:rsidRPr="000F7722">
        <w:rPr>
          <w:sz w:val="22"/>
          <w:szCs w:val="22"/>
        </w:rPr>
        <w:t>Gonaïves, Artibonite, Haïti</w:t>
      </w:r>
    </w:p>
    <w:p w14:paraId="5C036F87" w14:textId="77777777" w:rsidR="009459B3" w:rsidRPr="000F7722" w:rsidRDefault="009459B3" w:rsidP="001F68E5">
      <w:pPr>
        <w:spacing w:before="0" w:after="0"/>
        <w:ind w:left="709"/>
        <w:rPr>
          <w:sz w:val="22"/>
          <w:szCs w:val="22"/>
        </w:rPr>
      </w:pPr>
    </w:p>
    <w:p w14:paraId="0ADA6BB5" w14:textId="0FE51FA3" w:rsidR="009C77C4" w:rsidRPr="000F7722" w:rsidRDefault="00A57CE2" w:rsidP="001F68E5">
      <w:pPr>
        <w:spacing w:before="0" w:after="0"/>
        <w:ind w:left="709"/>
        <w:rPr>
          <w:sz w:val="22"/>
          <w:szCs w:val="22"/>
        </w:rPr>
      </w:pPr>
      <w:r w:rsidRPr="000F7722">
        <w:rPr>
          <w:sz w:val="22"/>
          <w:szCs w:val="22"/>
        </w:rPr>
        <w:t>L’autorité</w:t>
      </w:r>
      <w:r w:rsidR="005D55FE" w:rsidRPr="000F7722">
        <w:rPr>
          <w:sz w:val="22"/>
          <w:szCs w:val="22"/>
        </w:rPr>
        <w:t xml:space="preserve"> contractante est le Groupe de </w:t>
      </w:r>
      <w:r w:rsidR="00055907" w:rsidRPr="000F7722">
        <w:rPr>
          <w:sz w:val="22"/>
          <w:szCs w:val="22"/>
        </w:rPr>
        <w:t>R</w:t>
      </w:r>
      <w:r w:rsidR="005D55FE" w:rsidRPr="000F7722">
        <w:rPr>
          <w:sz w:val="22"/>
          <w:szCs w:val="22"/>
        </w:rPr>
        <w:t>echerche et d’Echange Technologique (GRET)</w:t>
      </w:r>
      <w:r w:rsidR="009459B3" w:rsidRPr="000F7722">
        <w:rPr>
          <w:sz w:val="22"/>
          <w:szCs w:val="22"/>
        </w:rPr>
        <w:t> :</w:t>
      </w:r>
    </w:p>
    <w:p w14:paraId="7862B42D" w14:textId="77777777" w:rsidR="00A57CE2" w:rsidRPr="000F7722" w:rsidRDefault="00A57CE2" w:rsidP="001F68E5">
      <w:pPr>
        <w:pStyle w:val="Blockquote"/>
        <w:spacing w:before="0" w:after="0"/>
        <w:ind w:right="26"/>
        <w:jc w:val="center"/>
        <w:rPr>
          <w:sz w:val="22"/>
          <w:szCs w:val="22"/>
        </w:rPr>
      </w:pPr>
      <w:r w:rsidRPr="000F7722">
        <w:rPr>
          <w:sz w:val="22"/>
          <w:szCs w:val="22"/>
        </w:rPr>
        <w:t>Hélène Mauduit, Représentante-Pays</w:t>
      </w:r>
      <w:r w:rsidR="00CC6AB3" w:rsidRPr="000F7722">
        <w:rPr>
          <w:sz w:val="22"/>
          <w:szCs w:val="22"/>
        </w:rPr>
        <w:t xml:space="preserve"> de Gret-</w:t>
      </w:r>
      <w:r w:rsidR="009459B3" w:rsidRPr="000F7722">
        <w:rPr>
          <w:sz w:val="22"/>
          <w:szCs w:val="22"/>
        </w:rPr>
        <w:t>Haïti</w:t>
      </w:r>
    </w:p>
    <w:p w14:paraId="7DA70FBD" w14:textId="77777777" w:rsidR="00A57CE2" w:rsidRPr="000F7722" w:rsidRDefault="00A57CE2" w:rsidP="001F68E5">
      <w:pPr>
        <w:pStyle w:val="Blockquote"/>
        <w:spacing w:before="0" w:after="0"/>
        <w:ind w:right="26"/>
        <w:jc w:val="center"/>
        <w:rPr>
          <w:sz w:val="22"/>
          <w:szCs w:val="22"/>
          <w:highlight w:val="yellow"/>
        </w:rPr>
      </w:pPr>
      <w:r w:rsidRPr="000F7722">
        <w:rPr>
          <w:bCs/>
          <w:sz w:val="22"/>
          <w:szCs w:val="22"/>
        </w:rPr>
        <w:t>8, Rue Ulysse, Ruelle Doucet, Delmas 83</w:t>
      </w:r>
      <w:r w:rsidRPr="000F7722">
        <w:rPr>
          <w:sz w:val="22"/>
          <w:szCs w:val="22"/>
        </w:rPr>
        <w:t>- Port au Prince</w:t>
      </w:r>
    </w:p>
    <w:p w14:paraId="0D13CD5C" w14:textId="77777777" w:rsidR="009459B3" w:rsidRPr="000F7722" w:rsidRDefault="009C77C4" w:rsidP="00805EFA">
      <w:pPr>
        <w:pStyle w:val="Blockquote"/>
        <w:ind w:left="709"/>
        <w:rPr>
          <w:sz w:val="22"/>
          <w:szCs w:val="22"/>
          <w:highlight w:val="yellow"/>
        </w:rPr>
      </w:pPr>
      <w:r w:rsidRPr="000F7722" w:rsidDel="001E23AC">
        <w:rPr>
          <w:sz w:val="22"/>
          <w:szCs w:val="22"/>
        </w:rPr>
        <w:t xml:space="preserve"> </w:t>
      </w:r>
    </w:p>
    <w:p w14:paraId="4BB9F419" w14:textId="77777777" w:rsidR="006C703D" w:rsidRPr="000F7722" w:rsidRDefault="006C703D" w:rsidP="009459B3">
      <w:pPr>
        <w:pStyle w:val="Blockquote"/>
        <w:ind w:left="0"/>
        <w:rPr>
          <w:sz w:val="22"/>
          <w:szCs w:val="22"/>
        </w:rPr>
      </w:pPr>
    </w:p>
    <w:p w14:paraId="6FE1B318" w14:textId="770D51B8" w:rsidR="002139C6" w:rsidRPr="000F7722" w:rsidRDefault="00E956A5" w:rsidP="0030441E">
      <w:pPr>
        <w:keepNext/>
        <w:widowControl/>
        <w:ind w:left="357"/>
        <w:jc w:val="center"/>
        <w:rPr>
          <w:rStyle w:val="lev"/>
          <w:sz w:val="22"/>
          <w:szCs w:val="22"/>
        </w:rPr>
      </w:pPr>
      <w:r>
        <w:rPr>
          <w:b/>
          <w:noProof/>
          <w:snapToGrid/>
          <w:sz w:val="22"/>
          <w:szCs w:val="22"/>
        </w:rPr>
        <w:pict w14:anchorId="497361AC">
          <v:line id="_x0000_s1030" style="position:absolute;left:0;text-align:left;z-index:251658240" from="2.25pt,-.45pt" to="470.25pt,-.4pt" o:allowincell="f" strokecolor="#d4d4d4" strokeweight="1.75pt">
            <v:shadow on="t" origin=",32385f" offset="0,-1pt"/>
          </v:line>
        </w:pict>
      </w:r>
      <w:r w:rsidR="00FD5C41" w:rsidRPr="000F7722">
        <w:rPr>
          <w:rStyle w:val="lev"/>
          <w:sz w:val="22"/>
          <w:szCs w:val="22"/>
        </w:rPr>
        <w:t>SPÉCIFICATIONS DU MARCHÉ</w:t>
      </w:r>
    </w:p>
    <w:p w14:paraId="33617F16" w14:textId="77777777" w:rsidR="002139C6" w:rsidRPr="000F7722" w:rsidRDefault="005D55FE" w:rsidP="003B2778">
      <w:pPr>
        <w:pStyle w:val="PRAGHeading2"/>
        <w:jc w:val="both"/>
        <w:rPr>
          <w:rStyle w:val="lev"/>
          <w:sz w:val="22"/>
          <w:szCs w:val="22"/>
        </w:rPr>
      </w:pPr>
      <w:r w:rsidRPr="000F7722">
        <w:rPr>
          <w:rStyle w:val="lev"/>
          <w:sz w:val="22"/>
          <w:szCs w:val="22"/>
        </w:rPr>
        <w:t>Description du marché</w:t>
      </w:r>
    </w:p>
    <w:p w14:paraId="46F584BC" w14:textId="573D1E2E" w:rsidR="00583520" w:rsidRPr="000F7722" w:rsidRDefault="00583520" w:rsidP="003B2778">
      <w:pPr>
        <w:pStyle w:val="PRAGHeading2"/>
        <w:numPr>
          <w:ilvl w:val="0"/>
          <w:numId w:val="0"/>
        </w:numPr>
        <w:jc w:val="both"/>
        <w:rPr>
          <w:sz w:val="22"/>
          <w:szCs w:val="22"/>
          <w:lang w:val="fr-CA"/>
        </w:rPr>
      </w:pPr>
      <w:r w:rsidRPr="000F7722">
        <w:rPr>
          <w:sz w:val="22"/>
          <w:szCs w:val="22"/>
          <w:lang w:val="fr-CA"/>
        </w:rPr>
        <w:t xml:space="preserve">Les deux (2) périmètres irrigués ciblés par le projet Pasan-Apros </w:t>
      </w:r>
      <w:r w:rsidR="00055907" w:rsidRPr="000F7722">
        <w:rPr>
          <w:sz w:val="22"/>
          <w:szCs w:val="22"/>
          <w:lang w:val="fr-CA"/>
        </w:rPr>
        <w:t xml:space="preserve">sont alimentés par la rivière des Trois Rivières et sont situés </w:t>
      </w:r>
      <w:r w:rsidRPr="000F7722">
        <w:rPr>
          <w:sz w:val="22"/>
          <w:szCs w:val="22"/>
          <w:lang w:val="fr-CA"/>
        </w:rPr>
        <w:t>dans la 6</w:t>
      </w:r>
      <w:r w:rsidRPr="000F7722">
        <w:rPr>
          <w:sz w:val="22"/>
          <w:szCs w:val="22"/>
          <w:vertAlign w:val="superscript"/>
          <w:lang w:val="fr-CA"/>
        </w:rPr>
        <w:t>e</w:t>
      </w:r>
      <w:r w:rsidRPr="000F7722">
        <w:rPr>
          <w:sz w:val="22"/>
          <w:szCs w:val="22"/>
          <w:lang w:val="fr-CA"/>
        </w:rPr>
        <w:t xml:space="preserve"> section communale de Gros Morne</w:t>
      </w:r>
      <w:r w:rsidR="0037786C" w:rsidRPr="000F7722">
        <w:rPr>
          <w:sz w:val="22"/>
          <w:szCs w:val="22"/>
          <w:lang w:val="fr-CA"/>
        </w:rPr>
        <w:t>. Ils</w:t>
      </w:r>
      <w:r w:rsidRPr="000F7722">
        <w:rPr>
          <w:sz w:val="22"/>
          <w:szCs w:val="22"/>
          <w:lang w:val="fr-CA"/>
        </w:rPr>
        <w:t xml:space="preserve"> sont actuellement dysfonctionnels, et des études techniques préalables ont permis d’identifier les travaux à mener :</w:t>
      </w:r>
    </w:p>
    <w:p w14:paraId="0F3DBF44" w14:textId="3F6DFDEC" w:rsidR="00583520" w:rsidRPr="000F7722" w:rsidRDefault="00583520" w:rsidP="003B2778">
      <w:pPr>
        <w:pStyle w:val="PRAGHeading2"/>
        <w:numPr>
          <w:ilvl w:val="0"/>
          <w:numId w:val="0"/>
        </w:numPr>
        <w:jc w:val="both"/>
        <w:rPr>
          <w:sz w:val="22"/>
          <w:szCs w:val="22"/>
          <w:lang w:val="fr-CA"/>
        </w:rPr>
      </w:pPr>
      <w:r w:rsidRPr="000F7722">
        <w:rPr>
          <w:b/>
          <w:sz w:val="22"/>
          <w:szCs w:val="22"/>
          <w:lang w:val="fr-CA"/>
        </w:rPr>
        <w:lastRenderedPageBreak/>
        <w:t>[lot 1 Camars]</w:t>
      </w:r>
      <w:r w:rsidRPr="000F7722">
        <w:rPr>
          <w:sz w:val="22"/>
          <w:szCs w:val="22"/>
          <w:lang w:val="fr-CA"/>
        </w:rPr>
        <w:t xml:space="preserve"> réhabilitation de la station de pompage thermique permettant l’irrigation de 53 ha y compris travaux de génie civil et électromécanique, et réhabilitation/construction d’une partie du réseau de distribution (canal primaire et secondaires) ;</w:t>
      </w:r>
    </w:p>
    <w:p w14:paraId="79B31255" w14:textId="35BBDF70" w:rsidR="00583520" w:rsidRPr="000F7722" w:rsidRDefault="00583520" w:rsidP="000F7722">
      <w:pPr>
        <w:pStyle w:val="PRAGHeading2"/>
        <w:numPr>
          <w:ilvl w:val="0"/>
          <w:numId w:val="0"/>
        </w:numPr>
        <w:spacing w:before="0"/>
        <w:jc w:val="both"/>
        <w:rPr>
          <w:sz w:val="22"/>
          <w:szCs w:val="22"/>
          <w:lang w:val="fr-CA"/>
        </w:rPr>
      </w:pPr>
      <w:r w:rsidRPr="000F7722">
        <w:rPr>
          <w:b/>
          <w:sz w:val="22"/>
          <w:szCs w:val="22"/>
          <w:lang w:val="fr-CA"/>
        </w:rPr>
        <w:t>[lot 2 David]</w:t>
      </w:r>
      <w:r w:rsidRPr="000F7722">
        <w:rPr>
          <w:sz w:val="22"/>
          <w:szCs w:val="22"/>
          <w:lang w:val="fr-CA"/>
        </w:rPr>
        <w:t xml:space="preserve"> réhabilitation de la station de pompage solaire permettant l’irrigation de 25 ha y compris travaux de génie civil et électromécanique.</w:t>
      </w:r>
    </w:p>
    <w:p w14:paraId="329B1D1F" w14:textId="4E573D72" w:rsidR="00586C57" w:rsidRPr="000F7722" w:rsidRDefault="00586C57" w:rsidP="000F7722">
      <w:pPr>
        <w:spacing w:before="0"/>
        <w:ind w:left="354"/>
        <w:jc w:val="both"/>
        <w:rPr>
          <w:sz w:val="22"/>
          <w:szCs w:val="22"/>
        </w:rPr>
      </w:pPr>
    </w:p>
    <w:p w14:paraId="03B8EEEE" w14:textId="77777777" w:rsidR="002139C6" w:rsidRPr="000F7722" w:rsidRDefault="005D55FE" w:rsidP="000F7722">
      <w:pPr>
        <w:pStyle w:val="PRAGHeading2"/>
        <w:spacing w:before="0"/>
        <w:rPr>
          <w:rStyle w:val="lev"/>
          <w:rFonts w:eastAsia="Calibri"/>
          <w:snapToGrid/>
          <w:sz w:val="22"/>
          <w:szCs w:val="22"/>
          <w:lang w:eastAsia="en-US" w:bidi="ar-SA"/>
        </w:rPr>
      </w:pPr>
      <w:r w:rsidRPr="000F7722">
        <w:rPr>
          <w:rStyle w:val="lev"/>
          <w:sz w:val="22"/>
          <w:szCs w:val="22"/>
        </w:rPr>
        <w:t>Nombre et intitulés des lots</w:t>
      </w:r>
    </w:p>
    <w:p w14:paraId="788FF50C" w14:textId="5DF29CA2" w:rsidR="00055907" w:rsidRPr="000F7722" w:rsidRDefault="001E23AC" w:rsidP="00CE5235">
      <w:pPr>
        <w:pStyle w:val="Blockquote"/>
        <w:spacing w:before="0" w:after="0"/>
        <w:ind w:left="709" w:right="357"/>
        <w:jc w:val="both"/>
        <w:rPr>
          <w:rStyle w:val="Accentuation"/>
          <w:i w:val="0"/>
          <w:sz w:val="22"/>
          <w:szCs w:val="22"/>
        </w:rPr>
      </w:pPr>
      <w:r w:rsidRPr="000F7722">
        <w:rPr>
          <w:rStyle w:val="Accentuation"/>
          <w:i w:val="0"/>
          <w:sz w:val="22"/>
          <w:szCs w:val="22"/>
        </w:rPr>
        <w:t>Le présent marché est composé</w:t>
      </w:r>
      <w:r w:rsidR="00FC56B1" w:rsidRPr="000F7722">
        <w:rPr>
          <w:rStyle w:val="Accentuation"/>
          <w:i w:val="0"/>
          <w:sz w:val="22"/>
          <w:szCs w:val="22"/>
        </w:rPr>
        <w:t xml:space="preserve"> de deux (2) lots :</w:t>
      </w:r>
    </w:p>
    <w:p w14:paraId="4B9DF484" w14:textId="3F6FE112" w:rsidR="00055907" w:rsidRPr="000F7722" w:rsidRDefault="00FC56B1" w:rsidP="00CE5235">
      <w:pPr>
        <w:pStyle w:val="Blockquote"/>
        <w:spacing w:before="0" w:after="0"/>
        <w:ind w:left="709" w:right="357"/>
        <w:jc w:val="both"/>
        <w:rPr>
          <w:bCs/>
          <w:sz w:val="22"/>
          <w:szCs w:val="22"/>
          <w:lang w:val="fr-CA"/>
        </w:rPr>
      </w:pPr>
      <w:r w:rsidRPr="000F7722">
        <w:rPr>
          <w:rStyle w:val="Accentuation"/>
          <w:i w:val="0"/>
          <w:sz w:val="22"/>
          <w:szCs w:val="22"/>
        </w:rPr>
        <w:t xml:space="preserve">Lot 1 : </w:t>
      </w:r>
      <w:r w:rsidRPr="000F7722">
        <w:rPr>
          <w:bCs/>
          <w:sz w:val="22"/>
          <w:szCs w:val="22"/>
          <w:lang w:val="fr-CA"/>
        </w:rPr>
        <w:t>Travaux de réhabilitation du périmètre irrigué de Camars</w:t>
      </w:r>
    </w:p>
    <w:p w14:paraId="08636FFB" w14:textId="77777777" w:rsidR="00FC56B1" w:rsidRPr="000F7722" w:rsidRDefault="00FC56B1" w:rsidP="00CE5235">
      <w:pPr>
        <w:pStyle w:val="Blockquote"/>
        <w:spacing w:before="0" w:after="0"/>
        <w:ind w:left="709" w:right="357"/>
        <w:jc w:val="both"/>
        <w:rPr>
          <w:bCs/>
          <w:sz w:val="22"/>
          <w:szCs w:val="22"/>
          <w:lang w:val="fr-CA"/>
        </w:rPr>
      </w:pPr>
      <w:r w:rsidRPr="000F7722">
        <w:rPr>
          <w:rStyle w:val="Accentuation"/>
          <w:i w:val="0"/>
          <w:sz w:val="22"/>
          <w:szCs w:val="22"/>
        </w:rPr>
        <w:t xml:space="preserve">Lot 2 : </w:t>
      </w:r>
      <w:r w:rsidRPr="000F7722">
        <w:rPr>
          <w:bCs/>
          <w:sz w:val="22"/>
          <w:szCs w:val="22"/>
          <w:lang w:val="fr-CA"/>
        </w:rPr>
        <w:t>Travaux de réhabilitation du périmètre irrigué de David</w:t>
      </w:r>
    </w:p>
    <w:p w14:paraId="69CBB5F1" w14:textId="77777777" w:rsidR="00FC56B1" w:rsidRPr="000F7722" w:rsidRDefault="00FC56B1" w:rsidP="00543291">
      <w:pPr>
        <w:pStyle w:val="Blockquote"/>
        <w:ind w:left="709"/>
        <w:jc w:val="both"/>
        <w:rPr>
          <w:rStyle w:val="Accentuation"/>
          <w:i w:val="0"/>
          <w:sz w:val="22"/>
          <w:szCs w:val="22"/>
        </w:rPr>
      </w:pPr>
    </w:p>
    <w:p w14:paraId="470FBC83" w14:textId="77777777" w:rsidR="002139C6" w:rsidRPr="000F7722" w:rsidRDefault="00E956A5">
      <w:pPr>
        <w:ind w:left="360"/>
        <w:jc w:val="center"/>
        <w:rPr>
          <w:rStyle w:val="lev"/>
          <w:sz w:val="22"/>
          <w:szCs w:val="22"/>
        </w:rPr>
      </w:pPr>
      <w:r>
        <w:rPr>
          <w:b/>
          <w:noProof/>
          <w:snapToGrid/>
          <w:sz w:val="22"/>
          <w:szCs w:val="22"/>
        </w:rPr>
        <w:pict w14:anchorId="6A76DB26">
          <v:line id="_x0000_s1029" style="position:absolute;left:0;text-align:left;z-index:251657216" from="2.25pt,.9pt" to="470.25pt,.95pt" o:allowincell="f" strokecolor="#d4d4d4" strokeweight="1.75pt">
            <v:shadow on="t" origin=",32385f" offset="0,-1pt"/>
          </v:line>
        </w:pict>
      </w:r>
      <w:r w:rsidR="00FD5C41" w:rsidRPr="000F7722">
        <w:rPr>
          <w:rStyle w:val="lev"/>
          <w:sz w:val="22"/>
          <w:szCs w:val="22"/>
        </w:rPr>
        <w:t>CONDITIONS DE PARTICIPATION</w:t>
      </w:r>
    </w:p>
    <w:p w14:paraId="41BFBEE3" w14:textId="77777777" w:rsidR="002139C6" w:rsidRPr="000F7722" w:rsidRDefault="005D55FE" w:rsidP="00805EFA">
      <w:pPr>
        <w:pStyle w:val="PRAGHeading2"/>
        <w:rPr>
          <w:rStyle w:val="lev"/>
          <w:sz w:val="22"/>
          <w:szCs w:val="22"/>
        </w:rPr>
      </w:pPr>
      <w:r w:rsidRPr="000F7722">
        <w:rPr>
          <w:rStyle w:val="lev"/>
          <w:sz w:val="22"/>
          <w:szCs w:val="22"/>
        </w:rPr>
        <w:t>Éligibilité et règles d’origine</w:t>
      </w:r>
    </w:p>
    <w:p w14:paraId="740AE760" w14:textId="77777777" w:rsidR="00096962" w:rsidRPr="000F7722" w:rsidRDefault="005D55FE" w:rsidP="00653626">
      <w:pPr>
        <w:ind w:left="420"/>
        <w:jc w:val="both"/>
        <w:rPr>
          <w:sz w:val="22"/>
          <w:szCs w:val="22"/>
        </w:rPr>
      </w:pPr>
      <w:bookmarkStart w:id="0" w:name="_DV_M201"/>
      <w:bookmarkEnd w:id="0"/>
      <w:r w:rsidRPr="000F7722">
        <w:rPr>
          <w:sz w:val="22"/>
          <w:szCs w:val="22"/>
        </w:rPr>
        <w:t>La participation au marché est ouverte à égalité de conditions à toutes les personnes physiques et morales</w:t>
      </w:r>
      <w:r w:rsidR="00E84B26" w:rsidRPr="000F7722">
        <w:rPr>
          <w:sz w:val="22"/>
          <w:szCs w:val="22"/>
        </w:rPr>
        <w:t xml:space="preserve">, </w:t>
      </w:r>
      <w:r w:rsidRPr="000F7722">
        <w:rPr>
          <w:sz w:val="22"/>
          <w:szCs w:val="22"/>
        </w:rPr>
        <w:t>qu'elles participent à titre individuel ou dans le cadre d'un groupement –consortium – de soumissionnaires</w:t>
      </w:r>
      <w:r w:rsidR="00E84B26" w:rsidRPr="000F7722">
        <w:rPr>
          <w:sz w:val="22"/>
          <w:szCs w:val="22"/>
        </w:rPr>
        <w:t>,</w:t>
      </w:r>
      <w:r w:rsidRPr="000F7722">
        <w:rPr>
          <w:sz w:val="22"/>
          <w:szCs w:val="22"/>
        </w:rPr>
        <w:t xml:space="preserve"> qui sont établies dans un État membre de l'Union européenne, dans un État ACP, ou dans un pays ou sur un territoire autorisé par l'accord de partenariat ACP-CE au titre duquel le marché est financé (voir également point 22 ci-après). La participation est également ouverte aux organisations internationales. Toutes les fournitures et tous les matériaux achetés dans le cadre du présent marché doivent provenir de l’un ou de plusieurs de ces pays éligibles. Ils peuvent toutefois provenir de n’importe quel pays si le montant des fournitures et des matériaux à acheter est inférieur à 100 000 EUR</w:t>
      </w:r>
      <w:r w:rsidR="000158F3" w:rsidRPr="000F7722">
        <w:rPr>
          <w:sz w:val="22"/>
          <w:szCs w:val="22"/>
        </w:rPr>
        <w:t>.</w:t>
      </w:r>
    </w:p>
    <w:p w14:paraId="026859B6" w14:textId="77777777" w:rsidR="009A4EFA" w:rsidRPr="000F7722" w:rsidRDefault="005D55FE" w:rsidP="00543291">
      <w:pPr>
        <w:widowControl/>
        <w:spacing w:before="0" w:after="0"/>
        <w:ind w:left="426"/>
        <w:jc w:val="both"/>
        <w:rPr>
          <w:rFonts w:eastAsia="Calibri"/>
          <w:i/>
          <w:snapToGrid/>
          <w:sz w:val="22"/>
          <w:szCs w:val="22"/>
        </w:rPr>
      </w:pPr>
      <w:r w:rsidRPr="000F7722">
        <w:rPr>
          <w:snapToGrid/>
          <w:sz w:val="22"/>
          <w:szCs w:val="22"/>
        </w:rPr>
        <w:t>Veuillez</w:t>
      </w:r>
      <w:r w:rsidRPr="000F7722">
        <w:rPr>
          <w:i/>
          <w:snapToGrid/>
          <w:sz w:val="22"/>
          <w:szCs w:val="22"/>
        </w:rPr>
        <w:t xml:space="preserve"> </w:t>
      </w:r>
      <w:r w:rsidRPr="000F7722">
        <w:rPr>
          <w:snapToGrid/>
          <w:sz w:val="22"/>
          <w:szCs w:val="22"/>
        </w:rPr>
        <w:t>noter qu’après le retrait du Royaume-Uni de l’UE, les règles d’accès aux procédures de passation de marché de l’UE des opérateurs économiques établis dans des pays tiers et des biens originaires de pays tiers</w:t>
      </w:r>
      <w:r w:rsidRPr="000F7722">
        <w:rPr>
          <w:snapToGrid/>
          <w:sz w:val="22"/>
          <w:szCs w:val="22"/>
          <w:vertAlign w:val="superscript"/>
        </w:rPr>
        <w:t>1</w:t>
      </w:r>
      <w:r w:rsidRPr="000F7722">
        <w:rPr>
          <w:snapToGrid/>
          <w:sz w:val="22"/>
          <w:szCs w:val="22"/>
        </w:rPr>
        <w:t xml:space="preserve"> s’appliqueront aux candidats ou aux soumissionnaires du Royaume-Uni, ainsi qu’à tous les candidats ou soumissionnaires proposant des biens originaires du Royaume-Uni</w:t>
      </w:r>
      <w:r w:rsidRPr="000F7722">
        <w:rPr>
          <w:snapToGrid/>
          <w:sz w:val="22"/>
          <w:szCs w:val="22"/>
          <w:vertAlign w:val="superscript"/>
        </w:rPr>
        <w:t>1</w:t>
      </w:r>
      <w:r w:rsidRPr="000F7722">
        <w:rPr>
          <w:snapToGrid/>
          <w:sz w:val="22"/>
          <w:szCs w:val="22"/>
        </w:rPr>
        <w:t xml:space="preserve"> en fonction de l’issue des négociations. Si cet accès n’est pas prévu par les dispositions légales en vigueur au moment de l'attribution du marché, les candidats ou soumissionnaires du Royaume-Uni et les candidats ou soumissionnaires proposant des biens originaires du Royaume-Uni</w:t>
      </w:r>
      <w:r w:rsidRPr="000F7722">
        <w:rPr>
          <w:snapToGrid/>
          <w:sz w:val="22"/>
          <w:szCs w:val="22"/>
          <w:vertAlign w:val="superscript"/>
        </w:rPr>
        <w:t>1</w:t>
      </w:r>
      <w:r w:rsidRPr="000F7722">
        <w:rPr>
          <w:snapToGrid/>
          <w:sz w:val="22"/>
          <w:szCs w:val="22"/>
        </w:rPr>
        <w:t xml:space="preserve"> pourraient être écartés de la procédure de passation de marché</w:t>
      </w:r>
      <w:r w:rsidRPr="000F7722">
        <w:rPr>
          <w:i/>
          <w:snapToGrid/>
          <w:sz w:val="22"/>
          <w:szCs w:val="22"/>
        </w:rPr>
        <w:t>.</w:t>
      </w:r>
    </w:p>
    <w:p w14:paraId="6FE27812" w14:textId="71407F20" w:rsidR="00055907" w:rsidRPr="000F7722" w:rsidRDefault="005D55FE" w:rsidP="009B22F3">
      <w:pPr>
        <w:widowControl/>
        <w:spacing w:before="0" w:after="0"/>
        <w:ind w:left="426"/>
        <w:jc w:val="both"/>
        <w:rPr>
          <w:snapToGrid/>
          <w:sz w:val="22"/>
          <w:szCs w:val="22"/>
        </w:rPr>
      </w:pPr>
      <w:r w:rsidRPr="000F7722">
        <w:rPr>
          <w:snapToGrid/>
          <w:sz w:val="22"/>
          <w:szCs w:val="22"/>
          <w:vertAlign w:val="superscript"/>
        </w:rPr>
        <w:t>1</w:t>
      </w:r>
      <w:r w:rsidRPr="000F7722">
        <w:rPr>
          <w:snapToGrid/>
          <w:sz w:val="22"/>
          <w:szCs w:val="22"/>
        </w:rPr>
        <w:t>Ils peuvent néanmoins provenir de n’importe quel pays si le montant des fournitures à acheter est inférieur à 100 000 EUR.</w:t>
      </w:r>
    </w:p>
    <w:p w14:paraId="5259F306" w14:textId="4909ABC3" w:rsidR="000F7722" w:rsidRPr="000F7722" w:rsidRDefault="000F7722" w:rsidP="009B22F3">
      <w:pPr>
        <w:widowControl/>
        <w:spacing w:before="0" w:after="0"/>
        <w:ind w:left="426"/>
        <w:jc w:val="both"/>
        <w:rPr>
          <w:snapToGrid/>
          <w:sz w:val="22"/>
          <w:szCs w:val="22"/>
        </w:rPr>
      </w:pPr>
    </w:p>
    <w:p w14:paraId="6CA2EAFD" w14:textId="7F932F7E" w:rsidR="002139C6" w:rsidRPr="000F7722" w:rsidRDefault="005D55FE" w:rsidP="00C35ECC">
      <w:pPr>
        <w:pStyle w:val="PRAGHeading2"/>
        <w:rPr>
          <w:rStyle w:val="lev"/>
          <w:sz w:val="22"/>
          <w:szCs w:val="22"/>
        </w:rPr>
      </w:pPr>
      <w:r w:rsidRPr="000F7722">
        <w:rPr>
          <w:rStyle w:val="lev"/>
          <w:sz w:val="22"/>
          <w:szCs w:val="22"/>
        </w:rPr>
        <w:t>Motifs d’exclusion</w:t>
      </w:r>
    </w:p>
    <w:p w14:paraId="411DE598" w14:textId="77777777" w:rsidR="002139C6" w:rsidRPr="000F7722" w:rsidRDefault="002139C6" w:rsidP="0030441E">
      <w:pPr>
        <w:keepNext/>
        <w:keepLines/>
        <w:ind w:left="709"/>
        <w:jc w:val="both"/>
        <w:rPr>
          <w:b/>
          <w:sz w:val="22"/>
          <w:szCs w:val="22"/>
        </w:rPr>
      </w:pPr>
      <w:r w:rsidRPr="000F7722">
        <w:rPr>
          <w:sz w:val="22"/>
          <w:szCs w:val="22"/>
        </w:rPr>
        <w:t>Les soumissionnaires doivent présenter une déclaration signée (incluse dans le bordereau de soumission pour un marché de travaux) par laquelle ils attestent qu’ils ne se trouvent dans aucune des situations visées dans la section 2.6.10.1. du Guide pratique des procédures contractuelles applicables à l'action extérieure de l'UE (</w:t>
      </w:r>
      <w:r w:rsidRPr="000F7722">
        <w:rPr>
          <w:b/>
          <w:sz w:val="22"/>
          <w:szCs w:val="22"/>
        </w:rPr>
        <w:t>PRAG</w:t>
      </w:r>
      <w:r w:rsidRPr="000F7722">
        <w:rPr>
          <w:sz w:val="22"/>
          <w:szCs w:val="22"/>
        </w:rPr>
        <w:t>).</w:t>
      </w:r>
    </w:p>
    <w:p w14:paraId="32FDD176" w14:textId="77777777" w:rsidR="00F539AC" w:rsidRPr="000F7722" w:rsidRDefault="00F539AC" w:rsidP="0030441E">
      <w:pPr>
        <w:keepNext/>
        <w:keepLines/>
        <w:ind w:left="709"/>
        <w:jc w:val="both"/>
        <w:rPr>
          <w:sz w:val="22"/>
          <w:szCs w:val="22"/>
        </w:rPr>
      </w:pPr>
      <w:r w:rsidRPr="000F7722">
        <w:rPr>
          <w:sz w:val="22"/>
          <w:szCs w:val="22"/>
        </w:rPr>
        <w:t xml:space="preserve">Les soumissionnaires figurant sur les listes des personnes, groupes et entités faisant l’objet de mesures restrictives de l’UE (voir la section 2.4. du PRAG) au moment de la décision d’attribution ne peuvent se voir octroyer le marché. </w:t>
      </w:r>
    </w:p>
    <w:p w14:paraId="76B590F4" w14:textId="77777777" w:rsidR="000F7722" w:rsidRPr="000F7722" w:rsidRDefault="000F7722" w:rsidP="000F7722">
      <w:pPr>
        <w:pStyle w:val="PRAGHeading2"/>
        <w:numPr>
          <w:ilvl w:val="0"/>
          <w:numId w:val="0"/>
        </w:numPr>
        <w:rPr>
          <w:rStyle w:val="lev"/>
          <w:sz w:val="22"/>
          <w:szCs w:val="22"/>
        </w:rPr>
      </w:pPr>
    </w:p>
    <w:p w14:paraId="7F89A7C3" w14:textId="77777777" w:rsidR="000F7722" w:rsidRPr="000F7722" w:rsidRDefault="000F7722" w:rsidP="000F7722">
      <w:pPr>
        <w:pStyle w:val="PRAGHeading2"/>
        <w:numPr>
          <w:ilvl w:val="0"/>
          <w:numId w:val="0"/>
        </w:numPr>
        <w:rPr>
          <w:rStyle w:val="lev"/>
          <w:sz w:val="22"/>
          <w:szCs w:val="22"/>
        </w:rPr>
      </w:pPr>
    </w:p>
    <w:p w14:paraId="4E595C28" w14:textId="541D3511" w:rsidR="002139C6" w:rsidRPr="000F7722" w:rsidRDefault="005D55FE" w:rsidP="00805EFA">
      <w:pPr>
        <w:pStyle w:val="PRAGHeading2"/>
        <w:rPr>
          <w:rStyle w:val="lev"/>
          <w:sz w:val="22"/>
          <w:szCs w:val="22"/>
        </w:rPr>
      </w:pPr>
      <w:r w:rsidRPr="000F7722">
        <w:rPr>
          <w:rStyle w:val="lev"/>
          <w:sz w:val="22"/>
          <w:szCs w:val="22"/>
        </w:rPr>
        <w:lastRenderedPageBreak/>
        <w:t>Nombre d’offres</w:t>
      </w:r>
    </w:p>
    <w:p w14:paraId="20282F6B" w14:textId="77777777" w:rsidR="00D01120" w:rsidRPr="000F7722" w:rsidRDefault="00D01120" w:rsidP="0030441E">
      <w:pPr>
        <w:ind w:left="709"/>
        <w:jc w:val="both"/>
        <w:rPr>
          <w:snapToGrid/>
          <w:sz w:val="22"/>
          <w:szCs w:val="22"/>
          <w:bdr w:val="none" w:sz="0" w:space="0" w:color="auto" w:frame="1"/>
          <w:lang w:bidi="ar-SA"/>
        </w:rPr>
      </w:pPr>
      <w:r w:rsidRPr="000F7722">
        <w:rPr>
          <w:snapToGrid/>
          <w:sz w:val="22"/>
          <w:szCs w:val="22"/>
          <w:bdr w:val="none" w:sz="0" w:space="0" w:color="auto" w:frame="1"/>
          <w:lang w:bidi="ar-SA"/>
        </w:rPr>
        <w:t>Une société peut soumissionner à un seul lot (lot n°1 ou lot n°2), ou bien soumissionner pour les deux lots (lot n°1 et lot n°2) en même temps. Dans tous les cas, il est interdit de soumettre plusieurs offres pour le même lot, ce qui entraînerait la disqualification de toutes les offres incluant cette société.</w:t>
      </w:r>
    </w:p>
    <w:p w14:paraId="236C96B5" w14:textId="29FCAAE2" w:rsidR="00D01120" w:rsidRPr="000F7722" w:rsidRDefault="00D01120" w:rsidP="0030441E">
      <w:pPr>
        <w:ind w:left="709"/>
        <w:jc w:val="both"/>
        <w:rPr>
          <w:sz w:val="22"/>
          <w:szCs w:val="22"/>
        </w:rPr>
      </w:pPr>
      <w:r w:rsidRPr="000F7722">
        <w:rPr>
          <w:snapToGrid/>
          <w:sz w:val="22"/>
          <w:szCs w:val="22"/>
          <w:bdr w:val="none" w:sz="0" w:space="0" w:color="auto" w:frame="1"/>
          <w:shd w:val="clear" w:color="auto" w:fill="FFFFFF"/>
          <w:lang w:bidi="ar-SA"/>
        </w:rPr>
        <w:t>Si une société est intéressée par les deux lots, elle doit présenter les informations dans son offre de manière à ce que l'on puisse évaluer chaque lot séparément. Les informations précises figurent dans le dossier d'appel d'offres à propos des modèles à remettre dans le cas d'une offre pour les deux lots</w:t>
      </w:r>
      <w:r w:rsidR="00EA000F" w:rsidRPr="000F7722">
        <w:rPr>
          <w:snapToGrid/>
          <w:sz w:val="22"/>
          <w:szCs w:val="22"/>
          <w:bdr w:val="none" w:sz="0" w:space="0" w:color="auto" w:frame="1"/>
          <w:shd w:val="clear" w:color="auto" w:fill="FFFFFF"/>
          <w:lang w:bidi="ar-SA"/>
        </w:rPr>
        <w:t>.</w:t>
      </w:r>
    </w:p>
    <w:p w14:paraId="5D6A1AFE" w14:textId="77777777" w:rsidR="002139C6" w:rsidRPr="000F7722" w:rsidRDefault="005D55FE" w:rsidP="00805EFA">
      <w:pPr>
        <w:pStyle w:val="PRAGHeading2"/>
        <w:rPr>
          <w:rStyle w:val="lev"/>
          <w:sz w:val="22"/>
          <w:szCs w:val="22"/>
        </w:rPr>
      </w:pPr>
      <w:r w:rsidRPr="000F7722">
        <w:rPr>
          <w:rStyle w:val="lev"/>
          <w:sz w:val="22"/>
          <w:szCs w:val="22"/>
        </w:rPr>
        <w:t>Garantie de soumission</w:t>
      </w:r>
    </w:p>
    <w:p w14:paraId="4A9A59A4" w14:textId="77777777" w:rsidR="002861BD" w:rsidRPr="000F7722" w:rsidRDefault="005D55FE" w:rsidP="0030441E">
      <w:pPr>
        <w:ind w:left="709"/>
        <w:jc w:val="both"/>
        <w:rPr>
          <w:sz w:val="22"/>
          <w:szCs w:val="22"/>
        </w:rPr>
      </w:pPr>
      <w:r w:rsidRPr="000F7722">
        <w:rPr>
          <w:sz w:val="22"/>
          <w:szCs w:val="22"/>
        </w:rPr>
        <w:t>Aucune garantie de soumission n’est requise</w:t>
      </w:r>
      <w:r w:rsidR="002861BD" w:rsidRPr="000F7722">
        <w:rPr>
          <w:sz w:val="22"/>
          <w:szCs w:val="22"/>
        </w:rPr>
        <w:t>.</w:t>
      </w:r>
      <w:r w:rsidR="002861BD" w:rsidRPr="000F7722" w:rsidDel="002861BD">
        <w:rPr>
          <w:sz w:val="22"/>
          <w:szCs w:val="22"/>
        </w:rPr>
        <w:t xml:space="preserve"> </w:t>
      </w:r>
    </w:p>
    <w:p w14:paraId="1E6DBA7A" w14:textId="77777777" w:rsidR="002139C6" w:rsidRPr="000F7722" w:rsidRDefault="005D55FE" w:rsidP="00805EFA">
      <w:pPr>
        <w:pStyle w:val="PRAGHeading2"/>
        <w:rPr>
          <w:rStyle w:val="lev"/>
          <w:sz w:val="22"/>
          <w:szCs w:val="22"/>
        </w:rPr>
      </w:pPr>
      <w:r w:rsidRPr="000F7722">
        <w:rPr>
          <w:rStyle w:val="lev"/>
          <w:sz w:val="22"/>
          <w:szCs w:val="22"/>
        </w:rPr>
        <w:t>Garantie de bonne exécution</w:t>
      </w:r>
    </w:p>
    <w:p w14:paraId="7297A240" w14:textId="77777777" w:rsidR="003A6721" w:rsidRPr="000F7722" w:rsidRDefault="003A6721" w:rsidP="0030441E">
      <w:pPr>
        <w:ind w:left="709"/>
        <w:jc w:val="both"/>
        <w:rPr>
          <w:sz w:val="22"/>
          <w:szCs w:val="22"/>
        </w:rPr>
      </w:pPr>
      <w:r w:rsidRPr="000F7722">
        <w:rPr>
          <w:sz w:val="22"/>
          <w:szCs w:val="22"/>
        </w:rPr>
        <w:t xml:space="preserve">Aucune garantie de bonne exécution n’est requise. </w:t>
      </w:r>
    </w:p>
    <w:p w14:paraId="12CD6A46" w14:textId="77777777" w:rsidR="002139C6" w:rsidRPr="000F7722" w:rsidRDefault="005D55FE" w:rsidP="00805EFA">
      <w:pPr>
        <w:pStyle w:val="PRAGHeading2"/>
        <w:rPr>
          <w:rStyle w:val="lev"/>
          <w:sz w:val="22"/>
          <w:szCs w:val="22"/>
        </w:rPr>
      </w:pPr>
      <w:r w:rsidRPr="000F7722">
        <w:rPr>
          <w:rStyle w:val="lev"/>
          <w:sz w:val="22"/>
          <w:szCs w:val="22"/>
        </w:rPr>
        <w:t>Réunion d’information et/ou visite du chantier</w:t>
      </w:r>
    </w:p>
    <w:p w14:paraId="6D72C7CF" w14:textId="45FF099A" w:rsidR="002861BD" w:rsidRPr="00253371" w:rsidRDefault="005D55FE" w:rsidP="0030441E">
      <w:pPr>
        <w:ind w:left="709"/>
        <w:jc w:val="both"/>
        <w:rPr>
          <w:sz w:val="22"/>
          <w:szCs w:val="22"/>
          <w:highlight w:val="lightGray"/>
        </w:rPr>
      </w:pPr>
      <w:r w:rsidRPr="000F7722">
        <w:rPr>
          <w:bCs/>
          <w:sz w:val="22"/>
          <w:szCs w:val="22"/>
        </w:rPr>
        <w:t xml:space="preserve">Une réunion de clarification et une visite de terrain seront organisées le </w:t>
      </w:r>
      <w:r w:rsidR="00D01120" w:rsidRPr="000F7722">
        <w:rPr>
          <w:b/>
          <w:bCs/>
          <w:sz w:val="22"/>
          <w:szCs w:val="22"/>
        </w:rPr>
        <w:t>mercredi 8</w:t>
      </w:r>
      <w:r w:rsidR="0074194A" w:rsidRPr="000F7722">
        <w:rPr>
          <w:b/>
          <w:bCs/>
          <w:sz w:val="22"/>
          <w:szCs w:val="22"/>
        </w:rPr>
        <w:t xml:space="preserve"> juin 2022</w:t>
      </w:r>
      <w:r w:rsidRPr="000F7722">
        <w:rPr>
          <w:b/>
          <w:bCs/>
          <w:sz w:val="22"/>
          <w:szCs w:val="22"/>
        </w:rPr>
        <w:t xml:space="preserve"> à partir de 9h am</w:t>
      </w:r>
      <w:r w:rsidRPr="000F7722">
        <w:rPr>
          <w:bCs/>
          <w:sz w:val="22"/>
          <w:szCs w:val="22"/>
        </w:rPr>
        <w:t xml:space="preserve"> (heure locale en Haïti) dans les bureaux du GRET à Gros Morne </w:t>
      </w:r>
      <w:r w:rsidR="00806A87" w:rsidRPr="000F7722">
        <w:rPr>
          <w:sz w:val="22"/>
          <w:szCs w:val="22"/>
          <w:lang w:val="cs-CZ"/>
        </w:rPr>
        <w:t xml:space="preserve">sise au # 2, zone Trois </w:t>
      </w:r>
      <w:r w:rsidR="00D44001" w:rsidRPr="000F7722">
        <w:rPr>
          <w:sz w:val="22"/>
          <w:szCs w:val="22"/>
          <w:lang w:val="cs-CZ"/>
        </w:rPr>
        <w:t>Poteaux, rue</w:t>
      </w:r>
      <w:r w:rsidR="00806A87" w:rsidRPr="000F7722">
        <w:rPr>
          <w:sz w:val="22"/>
          <w:szCs w:val="22"/>
          <w:lang w:val="cs-CZ"/>
        </w:rPr>
        <w:t xml:space="preserve"> Dignety</w:t>
      </w:r>
      <w:r w:rsidRPr="000F7722">
        <w:rPr>
          <w:bCs/>
          <w:sz w:val="22"/>
          <w:szCs w:val="22"/>
        </w:rPr>
        <w:t xml:space="preserve">. </w:t>
      </w:r>
      <w:r w:rsidRPr="000F7722">
        <w:rPr>
          <w:bCs/>
          <w:sz w:val="22"/>
          <w:szCs w:val="22"/>
          <w:u w:val="single"/>
        </w:rPr>
        <w:t>Ces deux activités sont obligatoires</w:t>
      </w:r>
      <w:r w:rsidRPr="000F7722">
        <w:rPr>
          <w:bCs/>
          <w:sz w:val="22"/>
          <w:szCs w:val="22"/>
        </w:rPr>
        <w:t xml:space="preserve"> : un soumissionnaire qui n’aurait pas participé à ces deux activités ne pourra pas </w:t>
      </w:r>
      <w:r w:rsidR="00DA712D" w:rsidRPr="000F7722">
        <w:rPr>
          <w:bCs/>
          <w:sz w:val="22"/>
          <w:szCs w:val="22"/>
        </w:rPr>
        <w:t xml:space="preserve">soumettre aucune </w:t>
      </w:r>
      <w:r w:rsidRPr="000F7722">
        <w:rPr>
          <w:bCs/>
          <w:sz w:val="22"/>
          <w:szCs w:val="22"/>
        </w:rPr>
        <w:t>offre.</w:t>
      </w:r>
      <w:r w:rsidR="002861BD" w:rsidRPr="00253371">
        <w:rPr>
          <w:sz w:val="22"/>
          <w:szCs w:val="22"/>
          <w:highlight w:val="lightGray"/>
        </w:rPr>
        <w:t xml:space="preserve"> </w:t>
      </w:r>
    </w:p>
    <w:p w14:paraId="24CDB49A" w14:textId="77777777" w:rsidR="002139C6" w:rsidRPr="000F7722" w:rsidRDefault="005D55FE" w:rsidP="003B2778">
      <w:pPr>
        <w:pStyle w:val="PRAGHeading2"/>
        <w:jc w:val="both"/>
        <w:rPr>
          <w:rStyle w:val="lev"/>
          <w:sz w:val="22"/>
          <w:szCs w:val="22"/>
        </w:rPr>
      </w:pPr>
      <w:r w:rsidRPr="000F7722">
        <w:rPr>
          <w:rStyle w:val="lev"/>
          <w:sz w:val="22"/>
          <w:szCs w:val="22"/>
        </w:rPr>
        <w:t>Validité des offres</w:t>
      </w:r>
    </w:p>
    <w:p w14:paraId="02964294" w14:textId="0432651C" w:rsidR="002139C6" w:rsidRPr="000F7722" w:rsidRDefault="002139C6" w:rsidP="003B2778">
      <w:pPr>
        <w:ind w:left="709"/>
        <w:jc w:val="both"/>
        <w:rPr>
          <w:sz w:val="22"/>
          <w:szCs w:val="22"/>
        </w:rPr>
      </w:pPr>
      <w:r w:rsidRPr="000F7722">
        <w:rPr>
          <w:sz w:val="22"/>
          <w:szCs w:val="22"/>
        </w:rPr>
        <w:t xml:space="preserve">Les offres doivent rester valables pendant une période de 90 jours à compter de la date limite de soumission des offres. Dans des circonstances exceptionnelles et avant l'expiration de la période de validité, </w:t>
      </w:r>
      <w:r w:rsidR="005D4292" w:rsidRPr="000F7722">
        <w:rPr>
          <w:sz w:val="22"/>
          <w:szCs w:val="22"/>
        </w:rPr>
        <w:t xml:space="preserve">l’autorité contractante </w:t>
      </w:r>
      <w:r w:rsidRPr="000F7722">
        <w:rPr>
          <w:sz w:val="22"/>
          <w:szCs w:val="22"/>
        </w:rPr>
        <w:t>peut demander aux soumissionnaires de prolonger la validité de leurs offres pour une durée spécifique.</w:t>
      </w:r>
    </w:p>
    <w:p w14:paraId="5984D7F1" w14:textId="77777777" w:rsidR="002139C6" w:rsidRPr="000F7722" w:rsidRDefault="005D55FE" w:rsidP="00805EFA">
      <w:pPr>
        <w:pStyle w:val="PRAGHeading2"/>
        <w:rPr>
          <w:rStyle w:val="lev"/>
          <w:sz w:val="22"/>
          <w:szCs w:val="22"/>
        </w:rPr>
      </w:pPr>
      <w:r w:rsidRPr="000F7722">
        <w:rPr>
          <w:rStyle w:val="lev"/>
          <w:sz w:val="22"/>
          <w:szCs w:val="22"/>
        </w:rPr>
        <w:t>P</w:t>
      </w:r>
      <w:r w:rsidRPr="000F7722">
        <w:rPr>
          <w:b/>
          <w:sz w:val="22"/>
          <w:szCs w:val="22"/>
        </w:rPr>
        <w:t>ériode de mise en œuvre des tâches</w:t>
      </w:r>
    </w:p>
    <w:p w14:paraId="585D30E3" w14:textId="1AEE35BB" w:rsidR="008C2F41" w:rsidRPr="000F7722" w:rsidRDefault="00543291" w:rsidP="007E39D8">
      <w:pPr>
        <w:ind w:left="709"/>
        <w:jc w:val="both"/>
        <w:rPr>
          <w:sz w:val="22"/>
          <w:szCs w:val="22"/>
        </w:rPr>
      </w:pPr>
      <w:r w:rsidRPr="000F7722">
        <w:rPr>
          <w:sz w:val="22"/>
          <w:szCs w:val="22"/>
        </w:rPr>
        <w:t xml:space="preserve">La durée maximum de mise en œuvre pour chacun des deux lots est de </w:t>
      </w:r>
      <w:r w:rsidR="00EA000F" w:rsidRPr="000F7722">
        <w:rPr>
          <w:sz w:val="22"/>
          <w:szCs w:val="22"/>
        </w:rPr>
        <w:t xml:space="preserve">quatre </w:t>
      </w:r>
      <w:r w:rsidRPr="000F7722">
        <w:rPr>
          <w:sz w:val="22"/>
          <w:szCs w:val="22"/>
        </w:rPr>
        <w:t>(</w:t>
      </w:r>
      <w:r w:rsidR="00EA000F" w:rsidRPr="000F7722">
        <w:rPr>
          <w:sz w:val="22"/>
          <w:szCs w:val="22"/>
        </w:rPr>
        <w:t>4</w:t>
      </w:r>
      <w:r w:rsidRPr="000F7722">
        <w:rPr>
          <w:sz w:val="22"/>
          <w:szCs w:val="22"/>
        </w:rPr>
        <w:t xml:space="preserve">) mois et de plus, les travaux pour les deux (2) lots doivent être exécutés ensemble au cours de la même période de </w:t>
      </w:r>
      <w:r w:rsidR="00EA000F" w:rsidRPr="000F7722">
        <w:rPr>
          <w:sz w:val="22"/>
          <w:szCs w:val="22"/>
        </w:rPr>
        <w:t>quatre (4</w:t>
      </w:r>
      <w:r w:rsidR="000B1C4C" w:rsidRPr="000F7722">
        <w:rPr>
          <w:sz w:val="22"/>
          <w:szCs w:val="22"/>
        </w:rPr>
        <w:t>)</w:t>
      </w:r>
      <w:r w:rsidRPr="000F7722">
        <w:rPr>
          <w:sz w:val="22"/>
          <w:szCs w:val="22"/>
        </w:rPr>
        <w:t xml:space="preserve"> mois. </w:t>
      </w:r>
    </w:p>
    <w:p w14:paraId="6F7CA32F" w14:textId="77777777" w:rsidR="002139C6" w:rsidRPr="000F7722" w:rsidRDefault="00E956A5" w:rsidP="00BE3363">
      <w:pPr>
        <w:keepNext/>
        <w:keepLines/>
        <w:rPr>
          <w:sz w:val="22"/>
          <w:szCs w:val="22"/>
        </w:rPr>
      </w:pPr>
      <w:r>
        <w:rPr>
          <w:snapToGrid/>
          <w:sz w:val="22"/>
          <w:szCs w:val="22"/>
        </w:rPr>
        <w:pict w14:anchorId="6CC22E92">
          <v:line id="_x0000_s1026" style="position:absolute;z-index:251654144" from="0,12pt" to="468pt,12.05pt" o:allowincell="f" strokecolor="#d4d4d4" strokeweight="1.75pt">
            <v:shadow on="t" origin=",32385f" offset="0,-1pt"/>
          </v:line>
        </w:pict>
      </w:r>
    </w:p>
    <w:p w14:paraId="1B8D3684" w14:textId="77777777" w:rsidR="002139C6" w:rsidRPr="000F7722" w:rsidRDefault="002139C6" w:rsidP="00BE3363">
      <w:pPr>
        <w:keepNext/>
        <w:keepLines/>
        <w:ind w:left="360"/>
        <w:jc w:val="center"/>
        <w:rPr>
          <w:rStyle w:val="lev"/>
          <w:sz w:val="22"/>
          <w:szCs w:val="22"/>
        </w:rPr>
      </w:pPr>
      <w:r w:rsidRPr="000F7722">
        <w:rPr>
          <w:rStyle w:val="lev"/>
          <w:sz w:val="22"/>
          <w:szCs w:val="22"/>
        </w:rPr>
        <w:t>CRITÈRES DE SÉLECTION ET D’ATTRIBUTION</w:t>
      </w:r>
    </w:p>
    <w:p w14:paraId="137123EC" w14:textId="77777777" w:rsidR="00E17B77" w:rsidRPr="000F7722" w:rsidRDefault="005D55FE" w:rsidP="00805EFA">
      <w:pPr>
        <w:pStyle w:val="PRAGHeading2"/>
        <w:rPr>
          <w:rStyle w:val="lev"/>
          <w:sz w:val="22"/>
          <w:szCs w:val="22"/>
        </w:rPr>
      </w:pPr>
      <w:r w:rsidRPr="000F7722">
        <w:rPr>
          <w:rStyle w:val="lev"/>
          <w:sz w:val="22"/>
          <w:szCs w:val="22"/>
        </w:rPr>
        <w:t>Critères de sélection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230"/>
      </w:tblGrid>
      <w:tr w:rsidR="000F7722" w:rsidRPr="000F7722" w14:paraId="7EA68735" w14:textId="77777777" w:rsidTr="00FD2C2F">
        <w:trPr>
          <w:jc w:val="center"/>
        </w:trPr>
        <w:tc>
          <w:tcPr>
            <w:tcW w:w="6912" w:type="dxa"/>
            <w:shd w:val="clear" w:color="auto" w:fill="808080"/>
            <w:vAlign w:val="center"/>
          </w:tcPr>
          <w:p w14:paraId="767BD086" w14:textId="77777777" w:rsidR="00E62947" w:rsidRPr="000F7722" w:rsidRDefault="00E62947" w:rsidP="00FD2C2F">
            <w:pPr>
              <w:jc w:val="center"/>
              <w:rPr>
                <w:b/>
                <w:caps/>
                <w:sz w:val="22"/>
                <w:szCs w:val="22"/>
              </w:rPr>
            </w:pPr>
            <w:r w:rsidRPr="000F7722">
              <w:rPr>
                <w:b/>
                <w:caps/>
                <w:sz w:val="22"/>
                <w:szCs w:val="22"/>
              </w:rPr>
              <w:t>Rubrique</w:t>
            </w:r>
          </w:p>
        </w:tc>
        <w:tc>
          <w:tcPr>
            <w:tcW w:w="2230" w:type="dxa"/>
            <w:shd w:val="clear" w:color="auto" w:fill="808080"/>
            <w:vAlign w:val="center"/>
          </w:tcPr>
          <w:p w14:paraId="06FBA2F0" w14:textId="77777777" w:rsidR="00E62947" w:rsidRPr="000F7722" w:rsidRDefault="00E62947" w:rsidP="00FD2C2F">
            <w:pPr>
              <w:jc w:val="center"/>
              <w:rPr>
                <w:b/>
                <w:caps/>
                <w:sz w:val="22"/>
                <w:szCs w:val="22"/>
              </w:rPr>
            </w:pPr>
            <w:r w:rsidRPr="000F7722">
              <w:rPr>
                <w:b/>
                <w:caps/>
                <w:sz w:val="22"/>
                <w:szCs w:val="22"/>
              </w:rPr>
              <w:t>Points</w:t>
            </w:r>
          </w:p>
        </w:tc>
      </w:tr>
      <w:tr w:rsidR="000F7722" w:rsidRPr="000F7722" w14:paraId="28B448A2" w14:textId="77777777" w:rsidTr="00FD2C2F">
        <w:trPr>
          <w:trHeight w:val="386"/>
          <w:jc w:val="center"/>
        </w:trPr>
        <w:tc>
          <w:tcPr>
            <w:tcW w:w="9142" w:type="dxa"/>
            <w:gridSpan w:val="2"/>
            <w:shd w:val="clear" w:color="auto" w:fill="808080"/>
            <w:vAlign w:val="center"/>
          </w:tcPr>
          <w:p w14:paraId="559DFB08" w14:textId="77777777" w:rsidR="00E62947" w:rsidRPr="000F7722" w:rsidRDefault="00E62947" w:rsidP="00FD2C2F">
            <w:pPr>
              <w:jc w:val="center"/>
              <w:rPr>
                <w:b/>
                <w:sz w:val="22"/>
                <w:szCs w:val="22"/>
              </w:rPr>
            </w:pPr>
            <w:r w:rsidRPr="000F7722">
              <w:rPr>
                <w:b/>
                <w:sz w:val="22"/>
                <w:szCs w:val="22"/>
              </w:rPr>
              <w:t>Expérience de l’entreprise</w:t>
            </w:r>
          </w:p>
        </w:tc>
      </w:tr>
      <w:tr w:rsidR="000F7722" w:rsidRPr="000F7722" w14:paraId="12F3A21A" w14:textId="77777777" w:rsidTr="00BE7B66">
        <w:trPr>
          <w:trHeight w:val="419"/>
          <w:jc w:val="center"/>
        </w:trPr>
        <w:tc>
          <w:tcPr>
            <w:tcW w:w="6912" w:type="dxa"/>
            <w:shd w:val="clear" w:color="auto" w:fill="D9D9D9"/>
            <w:vAlign w:val="center"/>
          </w:tcPr>
          <w:p w14:paraId="275349D1" w14:textId="77777777" w:rsidR="00E62947" w:rsidRPr="000F7722" w:rsidRDefault="00E62947" w:rsidP="00FD2C2F">
            <w:pPr>
              <w:rPr>
                <w:sz w:val="22"/>
                <w:szCs w:val="22"/>
              </w:rPr>
            </w:pPr>
            <w:r w:rsidRPr="000F7722">
              <w:rPr>
                <w:sz w:val="22"/>
                <w:szCs w:val="22"/>
              </w:rPr>
              <w:t>Ancienneté de l’entreprise, capacité économique et financière</w:t>
            </w:r>
          </w:p>
        </w:tc>
        <w:tc>
          <w:tcPr>
            <w:tcW w:w="2230" w:type="dxa"/>
            <w:vMerge w:val="restart"/>
            <w:shd w:val="clear" w:color="auto" w:fill="D9D9D9"/>
            <w:vAlign w:val="center"/>
          </w:tcPr>
          <w:p w14:paraId="41439E08" w14:textId="77777777" w:rsidR="00E62947" w:rsidRPr="000F7722" w:rsidRDefault="00E62947" w:rsidP="00FD2C2F">
            <w:pPr>
              <w:jc w:val="right"/>
              <w:rPr>
                <w:b/>
                <w:sz w:val="22"/>
                <w:szCs w:val="22"/>
                <w:u w:val="single"/>
              </w:rPr>
            </w:pPr>
            <w:r w:rsidRPr="000F7722">
              <w:rPr>
                <w:b/>
                <w:sz w:val="22"/>
                <w:szCs w:val="22"/>
                <w:u w:val="single"/>
              </w:rPr>
              <w:t>/45</w:t>
            </w:r>
          </w:p>
          <w:p w14:paraId="5A128135" w14:textId="77777777" w:rsidR="00E62947" w:rsidRPr="000F7722" w:rsidRDefault="00E62947" w:rsidP="00FD2C2F">
            <w:pPr>
              <w:jc w:val="right"/>
              <w:rPr>
                <w:b/>
                <w:sz w:val="22"/>
                <w:szCs w:val="22"/>
                <w:u w:val="single"/>
              </w:rPr>
            </w:pPr>
          </w:p>
        </w:tc>
      </w:tr>
      <w:tr w:rsidR="000F7722" w:rsidRPr="000F7722" w14:paraId="343133D9" w14:textId="77777777" w:rsidTr="00FD2C2F">
        <w:trPr>
          <w:trHeight w:val="539"/>
          <w:jc w:val="center"/>
        </w:trPr>
        <w:tc>
          <w:tcPr>
            <w:tcW w:w="6912" w:type="dxa"/>
            <w:shd w:val="clear" w:color="auto" w:fill="D9D9D9"/>
            <w:vAlign w:val="center"/>
          </w:tcPr>
          <w:p w14:paraId="279E7CBD" w14:textId="77777777" w:rsidR="00E62947" w:rsidRPr="000F7722" w:rsidRDefault="00E62947" w:rsidP="00FD2C2F">
            <w:pPr>
              <w:rPr>
                <w:sz w:val="22"/>
                <w:szCs w:val="22"/>
              </w:rPr>
            </w:pPr>
            <w:r w:rsidRPr="000F7722">
              <w:rPr>
                <w:sz w:val="22"/>
                <w:szCs w:val="22"/>
              </w:rPr>
              <w:t>Expérience de l’entreprise dans des travaux similaires en milieu rural</w:t>
            </w:r>
          </w:p>
        </w:tc>
        <w:tc>
          <w:tcPr>
            <w:tcW w:w="2230" w:type="dxa"/>
            <w:vMerge/>
            <w:shd w:val="clear" w:color="auto" w:fill="D9D9D9"/>
            <w:vAlign w:val="center"/>
          </w:tcPr>
          <w:p w14:paraId="06242878" w14:textId="77777777" w:rsidR="00E62947" w:rsidRPr="000F7722" w:rsidRDefault="00E62947" w:rsidP="00FD2C2F">
            <w:pPr>
              <w:jc w:val="right"/>
              <w:rPr>
                <w:b/>
                <w:sz w:val="22"/>
                <w:szCs w:val="22"/>
                <w:u w:val="single"/>
              </w:rPr>
            </w:pPr>
          </w:p>
        </w:tc>
      </w:tr>
      <w:tr w:rsidR="000F7722" w:rsidRPr="000F7722" w14:paraId="7C2DE63B" w14:textId="77777777" w:rsidTr="00FD2C2F">
        <w:trPr>
          <w:trHeight w:val="386"/>
          <w:jc w:val="center"/>
        </w:trPr>
        <w:tc>
          <w:tcPr>
            <w:tcW w:w="6912" w:type="dxa"/>
            <w:shd w:val="clear" w:color="auto" w:fill="D9D9D9"/>
            <w:vAlign w:val="center"/>
          </w:tcPr>
          <w:p w14:paraId="5E9EE4C5" w14:textId="77777777" w:rsidR="00E62947" w:rsidRPr="000F7722" w:rsidRDefault="00E62947" w:rsidP="00FD2C2F">
            <w:pPr>
              <w:rPr>
                <w:sz w:val="22"/>
                <w:szCs w:val="22"/>
              </w:rPr>
            </w:pPr>
            <w:r w:rsidRPr="000F7722">
              <w:rPr>
                <w:sz w:val="22"/>
                <w:szCs w:val="22"/>
              </w:rPr>
              <w:t>Qualité des équipements proposés</w:t>
            </w:r>
          </w:p>
        </w:tc>
        <w:tc>
          <w:tcPr>
            <w:tcW w:w="2230" w:type="dxa"/>
            <w:vMerge/>
            <w:shd w:val="clear" w:color="auto" w:fill="D9D9D9"/>
            <w:vAlign w:val="center"/>
          </w:tcPr>
          <w:p w14:paraId="10BB4AB6" w14:textId="77777777" w:rsidR="00E62947" w:rsidRPr="000F7722" w:rsidRDefault="00E62947" w:rsidP="00FD2C2F">
            <w:pPr>
              <w:jc w:val="right"/>
              <w:rPr>
                <w:b/>
                <w:sz w:val="22"/>
                <w:szCs w:val="22"/>
                <w:u w:val="single"/>
              </w:rPr>
            </w:pPr>
          </w:p>
        </w:tc>
      </w:tr>
      <w:tr w:rsidR="000F7722" w:rsidRPr="000F7722" w14:paraId="093DC25E" w14:textId="77777777" w:rsidTr="00FD2C2F">
        <w:trPr>
          <w:trHeight w:val="449"/>
          <w:jc w:val="center"/>
        </w:trPr>
        <w:tc>
          <w:tcPr>
            <w:tcW w:w="6912" w:type="dxa"/>
            <w:shd w:val="clear" w:color="auto" w:fill="D9D9D9"/>
            <w:vAlign w:val="center"/>
          </w:tcPr>
          <w:p w14:paraId="07E65588" w14:textId="77777777" w:rsidR="00E62947" w:rsidRPr="000F7722" w:rsidRDefault="00E62947" w:rsidP="00FD2C2F">
            <w:pPr>
              <w:rPr>
                <w:sz w:val="22"/>
                <w:szCs w:val="22"/>
              </w:rPr>
            </w:pPr>
            <w:r w:rsidRPr="000F7722">
              <w:rPr>
                <w:sz w:val="22"/>
                <w:szCs w:val="22"/>
              </w:rPr>
              <w:lastRenderedPageBreak/>
              <w:t xml:space="preserve">Qualité du personnel proposé </w:t>
            </w:r>
          </w:p>
        </w:tc>
        <w:tc>
          <w:tcPr>
            <w:tcW w:w="2230" w:type="dxa"/>
            <w:vMerge/>
            <w:vAlign w:val="center"/>
          </w:tcPr>
          <w:p w14:paraId="2A6BEBB2" w14:textId="77777777" w:rsidR="00E62947" w:rsidRPr="000F7722" w:rsidRDefault="00E62947" w:rsidP="00FD2C2F">
            <w:pPr>
              <w:jc w:val="right"/>
              <w:rPr>
                <w:sz w:val="22"/>
                <w:szCs w:val="22"/>
              </w:rPr>
            </w:pPr>
          </w:p>
        </w:tc>
      </w:tr>
      <w:tr w:rsidR="000F7722" w:rsidRPr="000F7722" w14:paraId="0A339007" w14:textId="77777777" w:rsidTr="00FD2C2F">
        <w:trPr>
          <w:trHeight w:val="386"/>
          <w:jc w:val="center"/>
        </w:trPr>
        <w:tc>
          <w:tcPr>
            <w:tcW w:w="6912" w:type="dxa"/>
            <w:shd w:val="clear" w:color="auto" w:fill="D9D9D9"/>
            <w:vAlign w:val="center"/>
          </w:tcPr>
          <w:p w14:paraId="21563431" w14:textId="77777777" w:rsidR="00E62947" w:rsidRPr="000F7722" w:rsidRDefault="00E62947" w:rsidP="00FD2C2F">
            <w:pPr>
              <w:rPr>
                <w:sz w:val="22"/>
                <w:szCs w:val="22"/>
              </w:rPr>
            </w:pPr>
            <w:r w:rsidRPr="000F7722">
              <w:rPr>
                <w:sz w:val="22"/>
                <w:szCs w:val="22"/>
              </w:rPr>
              <w:lastRenderedPageBreak/>
              <w:t>Expérience du personnel principal mobilisé</w:t>
            </w:r>
          </w:p>
        </w:tc>
        <w:tc>
          <w:tcPr>
            <w:tcW w:w="2230" w:type="dxa"/>
            <w:vMerge/>
            <w:vAlign w:val="center"/>
          </w:tcPr>
          <w:p w14:paraId="031CFD71" w14:textId="77777777" w:rsidR="00E62947" w:rsidRPr="000F7722" w:rsidRDefault="00E62947" w:rsidP="00FD2C2F">
            <w:pPr>
              <w:jc w:val="right"/>
              <w:rPr>
                <w:sz w:val="22"/>
                <w:szCs w:val="22"/>
              </w:rPr>
            </w:pPr>
          </w:p>
        </w:tc>
      </w:tr>
      <w:tr w:rsidR="000F7722" w:rsidRPr="000F7722" w14:paraId="7B89AD4D" w14:textId="77777777" w:rsidTr="00FD2C2F">
        <w:trPr>
          <w:trHeight w:val="386"/>
          <w:jc w:val="center"/>
        </w:trPr>
        <w:tc>
          <w:tcPr>
            <w:tcW w:w="9142" w:type="dxa"/>
            <w:gridSpan w:val="2"/>
            <w:shd w:val="clear" w:color="auto" w:fill="808080"/>
            <w:vAlign w:val="center"/>
          </w:tcPr>
          <w:p w14:paraId="772903F4" w14:textId="77777777" w:rsidR="00E62947" w:rsidRPr="000F7722" w:rsidRDefault="00E62947" w:rsidP="00FD2C2F">
            <w:pPr>
              <w:jc w:val="center"/>
              <w:rPr>
                <w:b/>
                <w:sz w:val="22"/>
                <w:szCs w:val="22"/>
              </w:rPr>
            </w:pPr>
            <w:r w:rsidRPr="000F7722">
              <w:rPr>
                <w:b/>
                <w:sz w:val="22"/>
                <w:szCs w:val="22"/>
              </w:rPr>
              <w:t>Organisation et méthodologie</w:t>
            </w:r>
          </w:p>
        </w:tc>
      </w:tr>
      <w:tr w:rsidR="000F7722" w:rsidRPr="000F7722" w14:paraId="1594E39E" w14:textId="77777777" w:rsidTr="00FD2C2F">
        <w:trPr>
          <w:trHeight w:val="386"/>
          <w:jc w:val="center"/>
        </w:trPr>
        <w:tc>
          <w:tcPr>
            <w:tcW w:w="6912" w:type="dxa"/>
            <w:shd w:val="clear" w:color="auto" w:fill="D9D9D9"/>
            <w:vAlign w:val="center"/>
          </w:tcPr>
          <w:p w14:paraId="6BCA55D6" w14:textId="77777777" w:rsidR="00E62947" w:rsidRPr="000F7722" w:rsidRDefault="00E62947" w:rsidP="00FD2C2F">
            <w:pPr>
              <w:rPr>
                <w:sz w:val="22"/>
                <w:szCs w:val="22"/>
              </w:rPr>
            </w:pPr>
            <w:r w:rsidRPr="000F7722">
              <w:rPr>
                <w:sz w:val="22"/>
                <w:szCs w:val="22"/>
              </w:rPr>
              <w:t>Cohérence globale des offres techniques et financières</w:t>
            </w:r>
          </w:p>
        </w:tc>
        <w:tc>
          <w:tcPr>
            <w:tcW w:w="2230" w:type="dxa"/>
            <w:vMerge w:val="restart"/>
            <w:shd w:val="clear" w:color="auto" w:fill="D9D9D9"/>
            <w:vAlign w:val="center"/>
          </w:tcPr>
          <w:p w14:paraId="4C4BDE1D" w14:textId="77777777" w:rsidR="00E62947" w:rsidRPr="000F7722" w:rsidRDefault="00E62947" w:rsidP="00FD2C2F">
            <w:pPr>
              <w:jc w:val="right"/>
              <w:rPr>
                <w:b/>
                <w:sz w:val="22"/>
                <w:szCs w:val="22"/>
              </w:rPr>
            </w:pPr>
            <w:r w:rsidRPr="000F7722">
              <w:rPr>
                <w:b/>
                <w:sz w:val="22"/>
                <w:szCs w:val="22"/>
                <w:u w:val="single"/>
              </w:rPr>
              <w:t>/55</w:t>
            </w:r>
          </w:p>
        </w:tc>
      </w:tr>
      <w:tr w:rsidR="000F7722" w:rsidRPr="000F7722" w14:paraId="50F773E4" w14:textId="77777777" w:rsidTr="00FD2C2F">
        <w:trPr>
          <w:trHeight w:val="539"/>
          <w:jc w:val="center"/>
        </w:trPr>
        <w:tc>
          <w:tcPr>
            <w:tcW w:w="6912" w:type="dxa"/>
            <w:shd w:val="clear" w:color="auto" w:fill="D9D9D9"/>
            <w:vAlign w:val="center"/>
          </w:tcPr>
          <w:p w14:paraId="0BECD927" w14:textId="77777777" w:rsidR="00E62947" w:rsidRPr="000F7722" w:rsidRDefault="00E62947" w:rsidP="00FD2C2F">
            <w:pPr>
              <w:rPr>
                <w:sz w:val="22"/>
                <w:szCs w:val="22"/>
              </w:rPr>
            </w:pPr>
            <w:r w:rsidRPr="000F7722">
              <w:rPr>
                <w:sz w:val="22"/>
                <w:szCs w:val="22"/>
              </w:rPr>
              <w:t>Méthodologie cohérente avec les prescriptions détaillées dans le Volume II du DAO</w:t>
            </w:r>
          </w:p>
        </w:tc>
        <w:tc>
          <w:tcPr>
            <w:tcW w:w="2230" w:type="dxa"/>
            <w:vMerge/>
            <w:shd w:val="clear" w:color="auto" w:fill="D9D9D9"/>
            <w:vAlign w:val="center"/>
          </w:tcPr>
          <w:p w14:paraId="18535BDA" w14:textId="77777777" w:rsidR="00E62947" w:rsidRPr="000F7722" w:rsidRDefault="00E62947" w:rsidP="00FD2C2F">
            <w:pPr>
              <w:jc w:val="right"/>
              <w:rPr>
                <w:b/>
                <w:sz w:val="22"/>
                <w:szCs w:val="22"/>
              </w:rPr>
            </w:pPr>
          </w:p>
        </w:tc>
      </w:tr>
      <w:tr w:rsidR="000F7722" w:rsidRPr="000F7722" w14:paraId="3F32C0CA" w14:textId="77777777" w:rsidTr="00FD2C2F">
        <w:trPr>
          <w:trHeight w:val="539"/>
          <w:jc w:val="center"/>
        </w:trPr>
        <w:tc>
          <w:tcPr>
            <w:tcW w:w="6912" w:type="dxa"/>
            <w:shd w:val="clear" w:color="auto" w:fill="D9D9D9"/>
            <w:vAlign w:val="center"/>
          </w:tcPr>
          <w:p w14:paraId="4025C66C" w14:textId="77777777" w:rsidR="00E62947" w:rsidRPr="000F7722" w:rsidRDefault="00E62947" w:rsidP="00FD2C2F">
            <w:pPr>
              <w:rPr>
                <w:sz w:val="22"/>
                <w:szCs w:val="22"/>
              </w:rPr>
            </w:pPr>
            <w:r w:rsidRPr="000F7722">
              <w:rPr>
                <w:sz w:val="22"/>
                <w:szCs w:val="22"/>
              </w:rPr>
              <w:t>Capacité à anticiper (vision du projet, acteurs, blocages potentiels, moyens d’atténuation …) et compréhension des enjeux du chantier</w:t>
            </w:r>
          </w:p>
        </w:tc>
        <w:tc>
          <w:tcPr>
            <w:tcW w:w="2230" w:type="dxa"/>
            <w:vMerge/>
            <w:shd w:val="clear" w:color="auto" w:fill="D9D9D9"/>
            <w:vAlign w:val="center"/>
          </w:tcPr>
          <w:p w14:paraId="0439F9DA" w14:textId="77777777" w:rsidR="00E62947" w:rsidRPr="000F7722" w:rsidRDefault="00E62947" w:rsidP="00FD2C2F">
            <w:pPr>
              <w:jc w:val="right"/>
              <w:rPr>
                <w:b/>
                <w:sz w:val="22"/>
                <w:szCs w:val="22"/>
              </w:rPr>
            </w:pPr>
          </w:p>
        </w:tc>
      </w:tr>
      <w:tr w:rsidR="000F7722" w:rsidRPr="000F7722" w14:paraId="0F2ECADE" w14:textId="77777777" w:rsidTr="00FD2C2F">
        <w:trPr>
          <w:trHeight w:val="539"/>
          <w:jc w:val="center"/>
        </w:trPr>
        <w:tc>
          <w:tcPr>
            <w:tcW w:w="6912" w:type="dxa"/>
            <w:shd w:val="clear" w:color="auto" w:fill="D9D9D9"/>
            <w:vAlign w:val="center"/>
          </w:tcPr>
          <w:p w14:paraId="191ADFC0" w14:textId="77777777" w:rsidR="00E62947" w:rsidRPr="000F7722" w:rsidRDefault="00E62947" w:rsidP="00FD2C2F">
            <w:pPr>
              <w:rPr>
                <w:b/>
                <w:i/>
                <w:sz w:val="22"/>
                <w:szCs w:val="22"/>
                <w:u w:val="single"/>
              </w:rPr>
            </w:pPr>
            <w:r w:rsidRPr="000F7722">
              <w:rPr>
                <w:sz w:val="22"/>
                <w:szCs w:val="22"/>
              </w:rPr>
              <w:t>Chronogramme d’exécution des travaux</w:t>
            </w:r>
          </w:p>
        </w:tc>
        <w:tc>
          <w:tcPr>
            <w:tcW w:w="2230" w:type="dxa"/>
            <w:vMerge/>
            <w:shd w:val="clear" w:color="auto" w:fill="D9D9D9"/>
            <w:vAlign w:val="center"/>
          </w:tcPr>
          <w:p w14:paraId="37067E79" w14:textId="77777777" w:rsidR="00E62947" w:rsidRPr="000F7722" w:rsidRDefault="00E62947" w:rsidP="00FD2C2F">
            <w:pPr>
              <w:jc w:val="right"/>
              <w:rPr>
                <w:b/>
                <w:sz w:val="22"/>
                <w:szCs w:val="22"/>
              </w:rPr>
            </w:pPr>
          </w:p>
        </w:tc>
      </w:tr>
      <w:tr w:rsidR="000F7722" w:rsidRPr="000F7722" w14:paraId="03B44D20" w14:textId="77777777" w:rsidTr="00FD2C2F">
        <w:trPr>
          <w:trHeight w:val="426"/>
          <w:jc w:val="center"/>
        </w:trPr>
        <w:tc>
          <w:tcPr>
            <w:tcW w:w="6912" w:type="dxa"/>
            <w:shd w:val="clear" w:color="auto" w:fill="808080"/>
            <w:vAlign w:val="center"/>
          </w:tcPr>
          <w:p w14:paraId="11295123" w14:textId="77777777" w:rsidR="00E62947" w:rsidRPr="000F7722" w:rsidRDefault="00E62947" w:rsidP="00FD2C2F">
            <w:pPr>
              <w:rPr>
                <w:b/>
                <w:sz w:val="22"/>
                <w:szCs w:val="22"/>
                <w:u w:val="single"/>
              </w:rPr>
            </w:pPr>
            <w:r w:rsidRPr="000F7722">
              <w:rPr>
                <w:b/>
                <w:sz w:val="22"/>
                <w:szCs w:val="22"/>
                <w:u w:val="single"/>
              </w:rPr>
              <w:t>TOTAL OBTENU</w:t>
            </w:r>
          </w:p>
        </w:tc>
        <w:tc>
          <w:tcPr>
            <w:tcW w:w="2230" w:type="dxa"/>
            <w:shd w:val="clear" w:color="auto" w:fill="808080"/>
            <w:vAlign w:val="center"/>
          </w:tcPr>
          <w:p w14:paraId="791A5ED0" w14:textId="77777777" w:rsidR="00E62947" w:rsidRPr="000F7722" w:rsidRDefault="00E62947" w:rsidP="00FD2C2F">
            <w:pPr>
              <w:jc w:val="right"/>
              <w:rPr>
                <w:b/>
                <w:sz w:val="22"/>
                <w:szCs w:val="22"/>
                <w:u w:val="single"/>
              </w:rPr>
            </w:pPr>
            <w:r w:rsidRPr="000F7722">
              <w:rPr>
                <w:b/>
                <w:sz w:val="22"/>
                <w:szCs w:val="22"/>
                <w:u w:val="single"/>
              </w:rPr>
              <w:t>/100</w:t>
            </w:r>
          </w:p>
        </w:tc>
      </w:tr>
    </w:tbl>
    <w:p w14:paraId="36FF65F8" w14:textId="77777777" w:rsidR="009A4EFA" w:rsidRPr="000F7722" w:rsidRDefault="009A4EFA" w:rsidP="008B5445">
      <w:pPr>
        <w:pStyle w:val="PRAGHeading2"/>
        <w:numPr>
          <w:ilvl w:val="0"/>
          <w:numId w:val="0"/>
        </w:numPr>
        <w:rPr>
          <w:sz w:val="22"/>
          <w:szCs w:val="22"/>
        </w:rPr>
      </w:pPr>
    </w:p>
    <w:p w14:paraId="7EF7AE69" w14:textId="77777777" w:rsidR="002139C6" w:rsidRPr="000F7722" w:rsidRDefault="005D55FE" w:rsidP="00805EFA">
      <w:pPr>
        <w:pStyle w:val="PRAGHeading2"/>
        <w:rPr>
          <w:rStyle w:val="lev"/>
          <w:sz w:val="22"/>
          <w:szCs w:val="22"/>
        </w:rPr>
      </w:pPr>
      <w:r w:rsidRPr="000F7722">
        <w:rPr>
          <w:rStyle w:val="lev"/>
          <w:sz w:val="22"/>
          <w:szCs w:val="22"/>
        </w:rPr>
        <w:t>Critères d’attribution</w:t>
      </w:r>
    </w:p>
    <w:p w14:paraId="7EEAF1BE" w14:textId="65D9A8C5" w:rsidR="008C2F41" w:rsidRPr="000F7722" w:rsidRDefault="008C2F41" w:rsidP="00E956A5">
      <w:pPr>
        <w:ind w:left="720"/>
        <w:jc w:val="both"/>
        <w:rPr>
          <w:sz w:val="22"/>
          <w:szCs w:val="22"/>
        </w:rPr>
      </w:pPr>
      <w:r w:rsidRPr="000F7722">
        <w:rPr>
          <w:sz w:val="22"/>
          <w:szCs w:val="22"/>
        </w:rPr>
        <w:t xml:space="preserve">Le seul critère d’attribution est le prix. Le marché sera attribué à </w:t>
      </w:r>
      <w:r w:rsidRPr="000F7722">
        <w:rPr>
          <w:b/>
          <w:sz w:val="22"/>
          <w:szCs w:val="22"/>
        </w:rPr>
        <w:t>l’offre conforme administrativement et techniquement la moins-disante</w:t>
      </w:r>
      <w:r w:rsidRPr="000F7722">
        <w:rPr>
          <w:sz w:val="22"/>
          <w:szCs w:val="22"/>
        </w:rPr>
        <w:t>.</w:t>
      </w:r>
      <w:bookmarkStart w:id="1" w:name="_GoBack"/>
      <w:bookmarkEnd w:id="1"/>
    </w:p>
    <w:p w14:paraId="0F278F57" w14:textId="777A7691" w:rsidR="00F04613" w:rsidRPr="000F7722" w:rsidRDefault="00E956A5" w:rsidP="001C45A8">
      <w:pPr>
        <w:ind w:left="720"/>
        <w:rPr>
          <w:sz w:val="22"/>
          <w:szCs w:val="22"/>
        </w:rPr>
      </w:pPr>
      <w:r>
        <w:rPr>
          <w:snapToGrid/>
          <w:sz w:val="22"/>
          <w:szCs w:val="22"/>
        </w:rPr>
        <w:pict w14:anchorId="70819B36">
          <v:line id="_x0000_s1027" style="position:absolute;left:0;text-align:left;z-index:251655168" from="15pt,25.1pt" to="483pt,25.15pt" o:allowincell="f" strokecolor="#d4d4d4" strokeweight="1.75pt">
            <v:shadow on="t" origin=",32385f" offset="0,-1pt"/>
          </v:line>
        </w:pict>
      </w:r>
    </w:p>
    <w:p w14:paraId="51D1F780" w14:textId="77777777" w:rsidR="002139C6" w:rsidRPr="000F7722" w:rsidRDefault="002139C6">
      <w:pPr>
        <w:ind w:left="360"/>
        <w:jc w:val="center"/>
        <w:rPr>
          <w:rStyle w:val="lev"/>
          <w:sz w:val="22"/>
          <w:szCs w:val="22"/>
        </w:rPr>
      </w:pPr>
      <w:r w:rsidRPr="000F7722">
        <w:rPr>
          <w:rStyle w:val="lev"/>
          <w:sz w:val="22"/>
          <w:szCs w:val="22"/>
        </w:rPr>
        <w:t>SOUMISSION DES OFFRES</w:t>
      </w:r>
    </w:p>
    <w:p w14:paraId="7F10BDB7" w14:textId="77777777" w:rsidR="002139C6" w:rsidRPr="000F7722" w:rsidRDefault="005D55FE" w:rsidP="00805EFA">
      <w:pPr>
        <w:pStyle w:val="PRAGHeading2"/>
        <w:rPr>
          <w:rStyle w:val="lev"/>
          <w:sz w:val="22"/>
          <w:szCs w:val="22"/>
        </w:rPr>
      </w:pPr>
      <w:r w:rsidRPr="000F7722">
        <w:rPr>
          <w:rStyle w:val="lev"/>
          <w:sz w:val="22"/>
          <w:szCs w:val="22"/>
        </w:rPr>
        <w:t>Comment obtenir le dossier d’appel d’offres</w:t>
      </w:r>
    </w:p>
    <w:p w14:paraId="404B1BFA" w14:textId="3FE6562C" w:rsidR="00B74141" w:rsidRPr="000F7722" w:rsidRDefault="00B74141" w:rsidP="00C37CFF">
      <w:pPr>
        <w:ind w:left="709"/>
        <w:jc w:val="both"/>
        <w:rPr>
          <w:sz w:val="22"/>
          <w:szCs w:val="22"/>
        </w:rPr>
      </w:pPr>
      <w:r w:rsidRPr="000F7722">
        <w:rPr>
          <w:sz w:val="22"/>
          <w:szCs w:val="22"/>
        </w:rPr>
        <w:t>Les soumissionnaires intéressés</w:t>
      </w:r>
      <w:r w:rsidRPr="000F7722">
        <w:rPr>
          <w:b/>
          <w:sz w:val="22"/>
          <w:szCs w:val="22"/>
        </w:rPr>
        <w:t xml:space="preserve"> </w:t>
      </w:r>
      <w:r w:rsidRPr="000F7722">
        <w:rPr>
          <w:sz w:val="22"/>
          <w:szCs w:val="22"/>
        </w:rPr>
        <w:t xml:space="preserve">sont priés d’envoyer un mail à l’adresse </w:t>
      </w:r>
      <w:r w:rsidR="00802B6D" w:rsidRPr="000F7722">
        <w:rPr>
          <w:b/>
          <w:sz w:val="22"/>
          <w:szCs w:val="22"/>
        </w:rPr>
        <w:t>« g_pasanapros@yahoo.com »</w:t>
      </w:r>
      <w:r w:rsidR="001854FA" w:rsidRPr="000F7722">
        <w:rPr>
          <w:b/>
          <w:sz w:val="22"/>
          <w:szCs w:val="22"/>
        </w:rPr>
        <w:t xml:space="preserve"> </w:t>
      </w:r>
      <w:r w:rsidR="001854FA" w:rsidRPr="000F7722">
        <w:rPr>
          <w:sz w:val="22"/>
          <w:szCs w:val="22"/>
        </w:rPr>
        <w:t>au plus tard</w:t>
      </w:r>
      <w:r w:rsidR="003819A3" w:rsidRPr="000F7722">
        <w:rPr>
          <w:b/>
          <w:sz w:val="22"/>
          <w:szCs w:val="22"/>
        </w:rPr>
        <w:t xml:space="preserve"> le vendredi 27 mai 2022</w:t>
      </w:r>
      <w:r w:rsidR="00C4138D" w:rsidRPr="000F7722">
        <w:rPr>
          <w:b/>
          <w:sz w:val="22"/>
          <w:szCs w:val="22"/>
        </w:rPr>
        <w:t xml:space="preserve"> à </w:t>
      </w:r>
      <w:r w:rsidR="001854FA" w:rsidRPr="000F7722">
        <w:rPr>
          <w:b/>
          <w:sz w:val="22"/>
          <w:szCs w:val="22"/>
        </w:rPr>
        <w:t>2 h</w:t>
      </w:r>
      <w:r w:rsidR="00C4138D" w:rsidRPr="000F7722">
        <w:rPr>
          <w:b/>
          <w:sz w:val="22"/>
          <w:szCs w:val="22"/>
        </w:rPr>
        <w:t xml:space="preserve"> </w:t>
      </w:r>
      <w:r w:rsidR="00EF3996" w:rsidRPr="000F7722">
        <w:rPr>
          <w:b/>
          <w:sz w:val="22"/>
          <w:szCs w:val="22"/>
        </w:rPr>
        <w:t xml:space="preserve">pm, </w:t>
      </w:r>
      <w:r w:rsidR="00EF3996" w:rsidRPr="000F7722" w:rsidDel="00C4138D">
        <w:rPr>
          <w:b/>
          <w:sz w:val="22"/>
          <w:szCs w:val="22"/>
        </w:rPr>
        <w:t>heure</w:t>
      </w:r>
      <w:r w:rsidRPr="000F7722">
        <w:rPr>
          <w:b/>
          <w:sz w:val="22"/>
          <w:szCs w:val="22"/>
        </w:rPr>
        <w:t xml:space="preserve"> locale</w:t>
      </w:r>
      <w:r w:rsidRPr="000F7722">
        <w:rPr>
          <w:sz w:val="22"/>
          <w:szCs w:val="22"/>
        </w:rPr>
        <w:t xml:space="preserve"> en indiquant dans l’objet du mail la référence de l’appel d’offres, et en annonçant leur volonté à prendre part au présent appel d’offres.</w:t>
      </w:r>
    </w:p>
    <w:p w14:paraId="1C7D2176" w14:textId="3F81B692" w:rsidR="00B74141" w:rsidRPr="000F7722" w:rsidRDefault="00B74141" w:rsidP="00C37CFF">
      <w:pPr>
        <w:ind w:left="709"/>
        <w:jc w:val="both"/>
        <w:rPr>
          <w:sz w:val="22"/>
          <w:szCs w:val="22"/>
        </w:rPr>
      </w:pPr>
      <w:r w:rsidRPr="000F7722">
        <w:rPr>
          <w:sz w:val="22"/>
          <w:szCs w:val="22"/>
        </w:rPr>
        <w:t xml:space="preserve">Le dossier d’appel d’offres complet sera envoyé </w:t>
      </w:r>
      <w:r w:rsidR="00DB04D7" w:rsidRPr="000F7722">
        <w:rPr>
          <w:b/>
          <w:sz w:val="22"/>
          <w:szCs w:val="22"/>
        </w:rPr>
        <w:t xml:space="preserve">le </w:t>
      </w:r>
      <w:r w:rsidR="003819A3" w:rsidRPr="000F7722">
        <w:rPr>
          <w:b/>
          <w:sz w:val="22"/>
          <w:szCs w:val="22"/>
        </w:rPr>
        <w:t>lundi 30 mai</w:t>
      </w:r>
      <w:r w:rsidR="00C4138D" w:rsidRPr="000F7722">
        <w:rPr>
          <w:b/>
          <w:sz w:val="22"/>
          <w:szCs w:val="22"/>
        </w:rPr>
        <w:t xml:space="preserve"> 2022</w:t>
      </w:r>
      <w:r w:rsidRPr="000F7722">
        <w:rPr>
          <w:sz w:val="22"/>
          <w:szCs w:val="22"/>
        </w:rPr>
        <w:t xml:space="preserve"> par voie électronique uniquement. L’ensemble des instructions à respecter figurent dans les documents d’appel d’offres.</w:t>
      </w:r>
    </w:p>
    <w:p w14:paraId="086CA601" w14:textId="1B5F3098" w:rsidR="00B87485" w:rsidRPr="000F7722" w:rsidRDefault="00B87485" w:rsidP="00B87485">
      <w:pPr>
        <w:pStyle w:val="NormalWeb"/>
        <w:spacing w:before="0" w:beforeAutospacing="0" w:after="0" w:afterAutospacing="0"/>
        <w:ind w:left="709"/>
        <w:jc w:val="both"/>
        <w:rPr>
          <w:sz w:val="22"/>
          <w:szCs w:val="22"/>
        </w:rPr>
      </w:pPr>
      <w:r w:rsidRPr="000F7722">
        <w:rPr>
          <w:sz w:val="22"/>
          <w:szCs w:val="22"/>
          <w:bdr w:val="none" w:sz="0" w:space="0" w:color="auto" w:frame="1"/>
        </w:rPr>
        <w:t>Toute question concernant</w:t>
      </w:r>
      <w:r w:rsidR="000F7722" w:rsidRPr="000F7722">
        <w:rPr>
          <w:sz w:val="22"/>
          <w:szCs w:val="22"/>
          <w:bdr w:val="none" w:sz="0" w:space="0" w:color="auto" w:frame="1"/>
        </w:rPr>
        <w:t xml:space="preserve"> </w:t>
      </w:r>
      <w:r w:rsidRPr="000F7722">
        <w:rPr>
          <w:sz w:val="22"/>
          <w:szCs w:val="22"/>
          <w:bdr w:val="none" w:sz="0" w:space="0" w:color="auto" w:frame="1"/>
        </w:rPr>
        <w:t>le présent appel d’offres doit être adressée par écrit à l’adresse</w:t>
      </w:r>
      <w:r w:rsidRPr="000F7722">
        <w:rPr>
          <w:sz w:val="22"/>
          <w:szCs w:val="22"/>
          <w:bdr w:val="none" w:sz="0" w:space="0" w:color="auto" w:frame="1"/>
          <w:shd w:val="clear" w:color="auto" w:fill="00FF00"/>
        </w:rPr>
        <w:t xml:space="preserve"> </w:t>
      </w:r>
      <w:r w:rsidRPr="000F7722">
        <w:rPr>
          <w:sz w:val="22"/>
          <w:szCs w:val="22"/>
          <w:bdr w:val="none" w:sz="0" w:space="0" w:color="auto" w:frame="1"/>
        </w:rPr>
        <w:t>électronique susmentionnée avec mention de la référence de la publication indiquée au point 1 jusqu’au jeudi 9 juin 2022 à 5h pm heure locale en Haïti. L’autorité contractante répondra aux questions de tous les soumissionnaires au plus tard le vendredi 17 juin 2022 à 5h pm heure locale en Haïti. D’éventuels éclaircissements ou changements mineurs au dossier d’appel d’offres seront publiés au plus tard le lundi 20 juin 2022. »</w:t>
      </w:r>
    </w:p>
    <w:p w14:paraId="67981E2C" w14:textId="77777777" w:rsidR="00B87485" w:rsidRPr="000F7722" w:rsidRDefault="00B87485" w:rsidP="00B87485">
      <w:pPr>
        <w:pStyle w:val="PRAGHeading2"/>
        <w:numPr>
          <w:ilvl w:val="0"/>
          <w:numId w:val="0"/>
        </w:numPr>
        <w:rPr>
          <w:rStyle w:val="lev"/>
          <w:sz w:val="22"/>
          <w:szCs w:val="22"/>
        </w:rPr>
      </w:pPr>
    </w:p>
    <w:p w14:paraId="077964F7" w14:textId="3D0AEFA3" w:rsidR="002139C6" w:rsidRPr="000F7722" w:rsidRDefault="005D55FE" w:rsidP="00805EFA">
      <w:pPr>
        <w:pStyle w:val="PRAGHeading2"/>
        <w:rPr>
          <w:rStyle w:val="lev"/>
          <w:sz w:val="22"/>
          <w:szCs w:val="22"/>
        </w:rPr>
      </w:pPr>
      <w:r w:rsidRPr="000F7722">
        <w:rPr>
          <w:rStyle w:val="lev"/>
          <w:sz w:val="22"/>
          <w:szCs w:val="22"/>
        </w:rPr>
        <w:t>Date limite de soumission des offres</w:t>
      </w:r>
    </w:p>
    <w:p w14:paraId="419540DF" w14:textId="39B9089F" w:rsidR="00D138B4" w:rsidRPr="000F7722" w:rsidRDefault="00D138B4" w:rsidP="00D138B4">
      <w:pPr>
        <w:pStyle w:val="NormalWeb"/>
        <w:spacing w:before="0" w:beforeAutospacing="0" w:after="0" w:afterAutospacing="0"/>
        <w:ind w:left="720" w:right="26" w:hanging="360"/>
        <w:jc w:val="both"/>
        <w:rPr>
          <w:sz w:val="22"/>
          <w:szCs w:val="22"/>
        </w:rPr>
      </w:pPr>
      <w:r w:rsidRPr="000F7722">
        <w:rPr>
          <w:sz w:val="22"/>
          <w:szCs w:val="22"/>
          <w:bdr w:val="none" w:sz="0" w:space="0" w:color="auto" w:frame="1"/>
        </w:rPr>
        <w:t xml:space="preserve">      La date limite de remise des offres est fixée au jeudi 30 juin 2022 à 11h am heure locale en Haïti. Les offres devront être remises par courrier ou par porteur dans les bureaux du Gret</w:t>
      </w:r>
      <w:r w:rsidR="00F419E1" w:rsidRPr="000F7722">
        <w:rPr>
          <w:sz w:val="22"/>
          <w:szCs w:val="22"/>
          <w:bdr w:val="none" w:sz="0" w:space="0" w:color="auto" w:frame="1"/>
        </w:rPr>
        <w:t xml:space="preserve"> </w:t>
      </w:r>
      <w:r w:rsidRPr="000F7722">
        <w:rPr>
          <w:sz w:val="22"/>
          <w:szCs w:val="22"/>
          <w:bdr w:val="none" w:sz="0" w:space="0" w:color="auto" w:frame="1"/>
        </w:rPr>
        <w:t>en Haïti. »</w:t>
      </w:r>
    </w:p>
    <w:p w14:paraId="46865367" w14:textId="348B618C" w:rsidR="002139C6" w:rsidRPr="000F7722" w:rsidRDefault="002139C6" w:rsidP="00BE3363">
      <w:pPr>
        <w:ind w:left="709"/>
        <w:rPr>
          <w:sz w:val="22"/>
          <w:szCs w:val="22"/>
        </w:rPr>
      </w:pPr>
      <w:r w:rsidRPr="000F7722">
        <w:rPr>
          <w:sz w:val="22"/>
          <w:szCs w:val="22"/>
        </w:rPr>
        <w:t xml:space="preserve">Les offres reçues par </w:t>
      </w:r>
      <w:r w:rsidR="005D4292" w:rsidRPr="000F7722">
        <w:rPr>
          <w:sz w:val="22"/>
          <w:szCs w:val="22"/>
        </w:rPr>
        <w:t xml:space="preserve">l’autorité contractante </w:t>
      </w:r>
      <w:r w:rsidRPr="000F7722">
        <w:rPr>
          <w:sz w:val="22"/>
          <w:szCs w:val="22"/>
        </w:rPr>
        <w:t>après la date limite ne seront pas prises en considération.</w:t>
      </w:r>
    </w:p>
    <w:p w14:paraId="2A3A6D30" w14:textId="01E3B8A6" w:rsidR="000434D3" w:rsidRPr="000F7722" w:rsidRDefault="005D4292" w:rsidP="000434D3">
      <w:pPr>
        <w:pStyle w:val="Blockquote"/>
        <w:ind w:left="709" w:right="26"/>
        <w:jc w:val="both"/>
        <w:rPr>
          <w:sz w:val="22"/>
          <w:szCs w:val="22"/>
        </w:rPr>
      </w:pPr>
      <w:r w:rsidRPr="000F7722">
        <w:rPr>
          <w:sz w:val="22"/>
          <w:szCs w:val="22"/>
        </w:rPr>
        <w:lastRenderedPageBreak/>
        <w:t xml:space="preserve">L’autorité contractante </w:t>
      </w:r>
      <w:r w:rsidR="000434D3" w:rsidRPr="000F7722">
        <w:rPr>
          <w:sz w:val="22"/>
          <w:szCs w:val="22"/>
        </w:rPr>
        <w:t xml:space="preserve">peut, pour des raisons d'efficience administrative, rejeter toute offre soumise à temps au service postal mais reçue, pour toute raison échappant au contrôle </w:t>
      </w:r>
      <w:r w:rsidRPr="000F7722">
        <w:rPr>
          <w:sz w:val="22"/>
          <w:szCs w:val="22"/>
        </w:rPr>
        <w:t>de l’autorité contractante</w:t>
      </w:r>
      <w:r w:rsidR="000434D3" w:rsidRPr="000F7722">
        <w:rPr>
          <w:sz w:val="22"/>
          <w:szCs w:val="22"/>
        </w:rPr>
        <w:t>, après la date effective d'approbation du rapport d'évaluation, si le fait d'accepter des offres soumises à temps mais arrivées tardivement risque de retarder exagérément la procédure d'évaluation ou de remettre en cause des décisions déjà prises et communiquées.</w:t>
      </w:r>
    </w:p>
    <w:p w14:paraId="1E7B8AF4" w14:textId="77777777" w:rsidR="000434D3" w:rsidRPr="000F7722" w:rsidRDefault="000434D3" w:rsidP="000434D3">
      <w:pPr>
        <w:ind w:left="709" w:right="26" w:hanging="349"/>
        <w:outlineLvl w:val="0"/>
        <w:rPr>
          <w:rStyle w:val="lev"/>
          <w:sz w:val="22"/>
          <w:szCs w:val="22"/>
        </w:rPr>
      </w:pPr>
      <w:r w:rsidRPr="000F7722">
        <w:rPr>
          <w:rStyle w:val="lev"/>
          <w:sz w:val="22"/>
          <w:szCs w:val="22"/>
        </w:rPr>
        <w:t xml:space="preserve">      </w:t>
      </w:r>
      <w:r w:rsidR="005D55FE" w:rsidRPr="000F7722">
        <w:rPr>
          <w:rStyle w:val="lev"/>
          <w:sz w:val="22"/>
          <w:szCs w:val="22"/>
        </w:rPr>
        <w:t>Modalités de soumission des offres</w:t>
      </w:r>
    </w:p>
    <w:p w14:paraId="048E752E" w14:textId="4E8B0A03" w:rsidR="000434D3" w:rsidRPr="000F7722" w:rsidRDefault="000434D3" w:rsidP="000434D3">
      <w:pPr>
        <w:pStyle w:val="Blockquote"/>
        <w:ind w:left="709" w:right="26"/>
        <w:jc w:val="both"/>
        <w:rPr>
          <w:sz w:val="22"/>
          <w:szCs w:val="22"/>
        </w:rPr>
      </w:pPr>
      <w:r w:rsidRPr="000F7722">
        <w:rPr>
          <w:rStyle w:val="lev"/>
          <w:sz w:val="22"/>
          <w:szCs w:val="22"/>
        </w:rPr>
        <w:t xml:space="preserve"> </w:t>
      </w:r>
      <w:r w:rsidRPr="000F7722">
        <w:rPr>
          <w:sz w:val="22"/>
          <w:szCs w:val="22"/>
        </w:rPr>
        <w:t xml:space="preserve">Les offres doivent être rédigées en français, soumises, sous enveloppe scellée, exclusivement </w:t>
      </w:r>
      <w:r w:rsidR="002030A6" w:rsidRPr="000F7722">
        <w:rPr>
          <w:sz w:val="22"/>
          <w:szCs w:val="22"/>
        </w:rPr>
        <w:t>à</w:t>
      </w:r>
      <w:r w:rsidR="00A30B9E" w:rsidRPr="000F7722">
        <w:rPr>
          <w:sz w:val="22"/>
          <w:szCs w:val="22"/>
        </w:rPr>
        <w:t xml:space="preserve"> l’autorité contractante </w:t>
      </w:r>
      <w:r w:rsidRPr="000F7722">
        <w:rPr>
          <w:sz w:val="22"/>
          <w:szCs w:val="22"/>
        </w:rPr>
        <w:t xml:space="preserve">et </w:t>
      </w:r>
      <w:r w:rsidR="002030A6" w:rsidRPr="000F7722">
        <w:rPr>
          <w:sz w:val="22"/>
          <w:szCs w:val="22"/>
        </w:rPr>
        <w:t>être :</w:t>
      </w:r>
    </w:p>
    <w:p w14:paraId="68322493" w14:textId="01580731" w:rsidR="000434D3" w:rsidRPr="000F7722" w:rsidRDefault="000434D3" w:rsidP="000434D3">
      <w:pPr>
        <w:numPr>
          <w:ilvl w:val="0"/>
          <w:numId w:val="40"/>
        </w:numPr>
        <w:ind w:right="26"/>
        <w:jc w:val="both"/>
        <w:rPr>
          <w:sz w:val="22"/>
          <w:szCs w:val="22"/>
        </w:rPr>
      </w:pPr>
      <w:r w:rsidRPr="000F7722">
        <w:rPr>
          <w:sz w:val="22"/>
          <w:szCs w:val="22"/>
        </w:rPr>
        <w:t xml:space="preserve">SOIT envoyées </w:t>
      </w:r>
      <w:r w:rsidR="00915149" w:rsidRPr="000F7722">
        <w:rPr>
          <w:sz w:val="22"/>
          <w:szCs w:val="22"/>
        </w:rPr>
        <w:t>(</w:t>
      </w:r>
      <w:r w:rsidR="00915149" w:rsidRPr="000F7722">
        <w:rPr>
          <w:rStyle w:val="Accentuation"/>
          <w:i w:val="0"/>
          <w:sz w:val="22"/>
          <w:szCs w:val="22"/>
        </w:rPr>
        <w:t xml:space="preserve">avant la date limite de soumission) </w:t>
      </w:r>
      <w:r w:rsidRPr="000F7722">
        <w:rPr>
          <w:sz w:val="22"/>
          <w:szCs w:val="22"/>
        </w:rPr>
        <w:t xml:space="preserve">par courrier postal ou par service de messagerie, auquel cas le cachet de la poste ou la date du récépissé de dépôt font </w:t>
      </w:r>
      <w:r w:rsidR="002030A6" w:rsidRPr="000F7722">
        <w:rPr>
          <w:sz w:val="22"/>
          <w:szCs w:val="22"/>
        </w:rPr>
        <w:t>foi ;</w:t>
      </w:r>
    </w:p>
    <w:p w14:paraId="30A8A8A3" w14:textId="0CB9D445" w:rsidR="00915149" w:rsidRPr="000F7722" w:rsidRDefault="00915149" w:rsidP="00CD3E5E">
      <w:pPr>
        <w:pStyle w:val="Blockquote"/>
        <w:ind w:right="26"/>
        <w:jc w:val="center"/>
        <w:rPr>
          <w:sz w:val="22"/>
          <w:szCs w:val="22"/>
        </w:rPr>
      </w:pPr>
      <w:r w:rsidRPr="000F7722">
        <w:rPr>
          <w:sz w:val="22"/>
          <w:szCs w:val="22"/>
        </w:rPr>
        <w:t>Personne de contact et adresse :</w:t>
      </w:r>
    </w:p>
    <w:p w14:paraId="66B20473" w14:textId="70C2CC83" w:rsidR="00712A8F" w:rsidRPr="000F7722" w:rsidRDefault="00DC2E52" w:rsidP="00FC1BEC">
      <w:pPr>
        <w:pStyle w:val="Blockquote"/>
        <w:ind w:right="26"/>
        <w:jc w:val="center"/>
        <w:rPr>
          <w:sz w:val="22"/>
          <w:szCs w:val="22"/>
        </w:rPr>
      </w:pPr>
      <w:r w:rsidRPr="000F7722">
        <w:rPr>
          <w:sz w:val="22"/>
          <w:szCs w:val="22"/>
        </w:rPr>
        <w:t xml:space="preserve"> Magdala GANTHIER</w:t>
      </w:r>
      <w:r w:rsidR="009C77C4" w:rsidRPr="000F7722">
        <w:rPr>
          <w:sz w:val="22"/>
          <w:szCs w:val="22"/>
        </w:rPr>
        <w:t xml:space="preserve">, </w:t>
      </w:r>
      <w:r w:rsidR="00C45F74" w:rsidRPr="000F7722">
        <w:rPr>
          <w:sz w:val="22"/>
          <w:szCs w:val="22"/>
        </w:rPr>
        <w:t xml:space="preserve">téléphone (509) </w:t>
      </w:r>
      <w:r w:rsidR="000B1C4C" w:rsidRPr="000F7722">
        <w:rPr>
          <w:sz w:val="22"/>
          <w:szCs w:val="22"/>
        </w:rPr>
        <w:t>2940</w:t>
      </w:r>
      <w:r w:rsidR="00C45F74" w:rsidRPr="000F7722">
        <w:rPr>
          <w:sz w:val="22"/>
          <w:szCs w:val="22"/>
        </w:rPr>
        <w:t>-</w:t>
      </w:r>
      <w:r w:rsidR="000B1C4C" w:rsidRPr="000F7722">
        <w:rPr>
          <w:sz w:val="22"/>
          <w:szCs w:val="22"/>
        </w:rPr>
        <w:t>2544</w:t>
      </w:r>
    </w:p>
    <w:p w14:paraId="5661A2F1" w14:textId="7F255073" w:rsidR="00712A8F" w:rsidRPr="000F7722" w:rsidRDefault="00E95D7C" w:rsidP="00CD3E5E">
      <w:pPr>
        <w:pStyle w:val="Blockquote"/>
        <w:ind w:right="26"/>
        <w:jc w:val="center"/>
        <w:rPr>
          <w:sz w:val="22"/>
          <w:szCs w:val="22"/>
          <w:highlight w:val="yellow"/>
        </w:rPr>
      </w:pPr>
      <w:r w:rsidRPr="000F7722">
        <w:rPr>
          <w:bCs/>
          <w:sz w:val="22"/>
          <w:szCs w:val="22"/>
        </w:rPr>
        <w:t>8, Rue Ulysse, Ruelle Doucet, Delmas 83</w:t>
      </w:r>
      <w:r w:rsidRPr="000F7722">
        <w:rPr>
          <w:sz w:val="22"/>
          <w:szCs w:val="22"/>
        </w:rPr>
        <w:t>- Port au Prince</w:t>
      </w:r>
      <w:r w:rsidR="00802B6D" w:rsidRPr="000F7722">
        <w:rPr>
          <w:sz w:val="22"/>
          <w:szCs w:val="22"/>
        </w:rPr>
        <w:t>, Haïti</w:t>
      </w:r>
    </w:p>
    <w:p w14:paraId="6994404B" w14:textId="4D9677A8" w:rsidR="00DC2E52" w:rsidRPr="000F7722" w:rsidRDefault="000434D3" w:rsidP="000434D3">
      <w:pPr>
        <w:numPr>
          <w:ilvl w:val="0"/>
          <w:numId w:val="40"/>
        </w:numPr>
        <w:ind w:right="26"/>
        <w:jc w:val="both"/>
        <w:rPr>
          <w:sz w:val="22"/>
          <w:szCs w:val="22"/>
        </w:rPr>
      </w:pPr>
      <w:r w:rsidRPr="000F7722">
        <w:rPr>
          <w:sz w:val="22"/>
          <w:szCs w:val="22"/>
        </w:rPr>
        <w:t xml:space="preserve">SOIT </w:t>
      </w:r>
      <w:r w:rsidRPr="000F7722">
        <w:rPr>
          <w:rStyle w:val="lev"/>
          <w:b w:val="0"/>
          <w:sz w:val="22"/>
          <w:szCs w:val="22"/>
        </w:rPr>
        <w:t>remises</w:t>
      </w:r>
      <w:r w:rsidR="00A86346" w:rsidRPr="000F7722">
        <w:rPr>
          <w:rStyle w:val="lev"/>
          <w:b w:val="0"/>
          <w:sz w:val="22"/>
          <w:szCs w:val="22"/>
        </w:rPr>
        <w:t>,</w:t>
      </w:r>
      <w:r w:rsidRPr="000F7722">
        <w:rPr>
          <w:rStyle w:val="lev"/>
          <w:b w:val="0"/>
          <w:sz w:val="22"/>
          <w:szCs w:val="22"/>
        </w:rPr>
        <w:t xml:space="preserve"> </w:t>
      </w:r>
      <w:r w:rsidR="00A86346" w:rsidRPr="000F7722">
        <w:rPr>
          <w:rStyle w:val="lev"/>
          <w:b w:val="0"/>
          <w:sz w:val="22"/>
          <w:szCs w:val="22"/>
        </w:rPr>
        <w:t>e</w:t>
      </w:r>
      <w:r w:rsidR="00A86346" w:rsidRPr="000F7722">
        <w:rPr>
          <w:sz w:val="22"/>
          <w:szCs w:val="22"/>
        </w:rPr>
        <w:t xml:space="preserve">ntre 9h am et 4h pm (heure locale), </w:t>
      </w:r>
      <w:r w:rsidRPr="000F7722">
        <w:rPr>
          <w:rStyle w:val="lev"/>
          <w:b w:val="0"/>
          <w:sz w:val="22"/>
          <w:szCs w:val="22"/>
        </w:rPr>
        <w:t>en main propre</w:t>
      </w:r>
      <w:r w:rsidRPr="000F7722">
        <w:rPr>
          <w:sz w:val="22"/>
          <w:szCs w:val="22"/>
        </w:rPr>
        <w:t xml:space="preserve"> par le participant en personne ou par un agent </w:t>
      </w:r>
      <w:r w:rsidRPr="000F7722">
        <w:rPr>
          <w:rStyle w:val="lev"/>
          <w:b w:val="0"/>
          <w:sz w:val="22"/>
          <w:szCs w:val="22"/>
        </w:rPr>
        <w:t>directement</w:t>
      </w:r>
      <w:r w:rsidRPr="000F7722">
        <w:rPr>
          <w:sz w:val="22"/>
          <w:szCs w:val="22"/>
        </w:rPr>
        <w:t xml:space="preserve"> dans les locaux d</w:t>
      </w:r>
      <w:r w:rsidR="00915149" w:rsidRPr="000F7722">
        <w:rPr>
          <w:sz w:val="22"/>
          <w:szCs w:val="22"/>
        </w:rPr>
        <w:t xml:space="preserve">e l’autorité contractante </w:t>
      </w:r>
      <w:r w:rsidRPr="000F7722">
        <w:rPr>
          <w:sz w:val="22"/>
          <w:szCs w:val="22"/>
        </w:rPr>
        <w:t xml:space="preserve">contre </w:t>
      </w:r>
      <w:r w:rsidRPr="000F7722">
        <w:rPr>
          <w:rStyle w:val="lev"/>
          <w:b w:val="0"/>
          <w:sz w:val="22"/>
          <w:szCs w:val="22"/>
        </w:rPr>
        <w:t>remise d’un accusé de réception signé et daté</w:t>
      </w:r>
      <w:r w:rsidRPr="000F7722">
        <w:rPr>
          <w:sz w:val="22"/>
          <w:szCs w:val="22"/>
        </w:rPr>
        <w:t>, auquel cas l’accusé de réception fait foi.</w:t>
      </w:r>
    </w:p>
    <w:p w14:paraId="45D2AC99" w14:textId="4942D1EF" w:rsidR="00915149" w:rsidRPr="000F7722" w:rsidRDefault="00915149" w:rsidP="00A86346">
      <w:pPr>
        <w:pStyle w:val="Blockquote"/>
        <w:keepNext/>
        <w:keepLines/>
        <w:spacing w:before="120" w:after="120"/>
        <w:ind w:left="0" w:right="26"/>
        <w:jc w:val="center"/>
        <w:rPr>
          <w:b/>
          <w:sz w:val="22"/>
          <w:szCs w:val="22"/>
        </w:rPr>
      </w:pPr>
      <w:r w:rsidRPr="000F7722">
        <w:rPr>
          <w:b/>
          <w:sz w:val="22"/>
          <w:szCs w:val="22"/>
        </w:rPr>
        <w:t>Les personnes de contact et adresses :</w:t>
      </w:r>
    </w:p>
    <w:p w14:paraId="518571A3" w14:textId="353ED087" w:rsidR="00A86346" w:rsidRPr="000F7722" w:rsidRDefault="005D55FE" w:rsidP="00A86346">
      <w:pPr>
        <w:pStyle w:val="Blockquote"/>
        <w:keepNext/>
        <w:keepLines/>
        <w:spacing w:before="120" w:after="120"/>
        <w:ind w:left="0" w:right="26"/>
        <w:jc w:val="center"/>
        <w:rPr>
          <w:sz w:val="22"/>
          <w:szCs w:val="22"/>
        </w:rPr>
      </w:pPr>
      <w:r w:rsidRPr="000F7722">
        <w:rPr>
          <w:b/>
          <w:sz w:val="22"/>
          <w:szCs w:val="22"/>
        </w:rPr>
        <w:t>En cas de dépôt au bureau du Gret à Port-au-Prince</w:t>
      </w:r>
    </w:p>
    <w:p w14:paraId="427FD98A" w14:textId="5B24CA19" w:rsidR="00A86346" w:rsidRPr="000F7722" w:rsidRDefault="00A86346" w:rsidP="00A86346">
      <w:pPr>
        <w:pStyle w:val="Blockquote"/>
        <w:keepNext/>
        <w:keepLines/>
        <w:spacing w:before="120" w:after="120"/>
        <w:ind w:left="0" w:right="26"/>
        <w:jc w:val="center"/>
        <w:rPr>
          <w:sz w:val="22"/>
          <w:szCs w:val="22"/>
        </w:rPr>
      </w:pPr>
      <w:r w:rsidRPr="000F7722">
        <w:rPr>
          <w:sz w:val="22"/>
          <w:szCs w:val="22"/>
        </w:rPr>
        <w:t xml:space="preserve">Magdala </w:t>
      </w:r>
      <w:r w:rsidR="00915149" w:rsidRPr="000F7722">
        <w:rPr>
          <w:sz w:val="22"/>
          <w:szCs w:val="22"/>
        </w:rPr>
        <w:t>GANTHIER</w:t>
      </w:r>
      <w:r w:rsidR="00FC1BEC" w:rsidRPr="000F7722">
        <w:rPr>
          <w:sz w:val="22"/>
          <w:szCs w:val="22"/>
        </w:rPr>
        <w:t>,</w:t>
      </w:r>
      <w:r w:rsidR="00B83515" w:rsidRPr="000F7722">
        <w:rPr>
          <w:sz w:val="22"/>
          <w:szCs w:val="22"/>
        </w:rPr>
        <w:t xml:space="preserve"> </w:t>
      </w:r>
      <w:r w:rsidR="000B1C4C" w:rsidRPr="000F7722">
        <w:rPr>
          <w:sz w:val="22"/>
          <w:szCs w:val="22"/>
        </w:rPr>
        <w:t>téléphone (509) 2940-2544</w:t>
      </w:r>
      <w:r w:rsidRPr="000F7722">
        <w:rPr>
          <w:sz w:val="22"/>
          <w:szCs w:val="22"/>
        </w:rPr>
        <w:t>,</w:t>
      </w:r>
    </w:p>
    <w:p w14:paraId="5BF758F9" w14:textId="6D7BD3F9" w:rsidR="00A86346" w:rsidRPr="000F7722" w:rsidRDefault="00A86346" w:rsidP="00A86346">
      <w:pPr>
        <w:pStyle w:val="Blockquote"/>
        <w:keepNext/>
        <w:keepLines/>
        <w:spacing w:before="120" w:after="120"/>
        <w:ind w:left="0" w:right="26"/>
        <w:jc w:val="center"/>
        <w:rPr>
          <w:sz w:val="22"/>
          <w:szCs w:val="22"/>
        </w:rPr>
      </w:pPr>
      <w:r w:rsidRPr="000F7722">
        <w:rPr>
          <w:bCs/>
          <w:sz w:val="22"/>
          <w:szCs w:val="22"/>
        </w:rPr>
        <w:t>8, Rue Ulysse, Ruelle Doucet, Delmas 83</w:t>
      </w:r>
      <w:r w:rsidRPr="000F7722">
        <w:rPr>
          <w:sz w:val="22"/>
          <w:szCs w:val="22"/>
        </w:rPr>
        <w:t>- Port au Prince</w:t>
      </w:r>
    </w:p>
    <w:p w14:paraId="0F6E511E" w14:textId="0E7D81C1" w:rsidR="00A86346" w:rsidRPr="000F7722" w:rsidRDefault="00A86346" w:rsidP="00A86346">
      <w:pPr>
        <w:tabs>
          <w:tab w:val="left" w:pos="4065"/>
        </w:tabs>
        <w:jc w:val="center"/>
        <w:rPr>
          <w:sz w:val="22"/>
          <w:szCs w:val="22"/>
        </w:rPr>
      </w:pPr>
      <w:r w:rsidRPr="000F7722">
        <w:rPr>
          <w:b/>
          <w:sz w:val="22"/>
          <w:szCs w:val="22"/>
        </w:rPr>
        <w:t>En cas de dépôt au bureau du Gret à Gros Morne</w:t>
      </w:r>
    </w:p>
    <w:p w14:paraId="4FA1D253" w14:textId="3023877F" w:rsidR="00F04613" w:rsidRPr="000F7722" w:rsidRDefault="00A86346" w:rsidP="00D44001">
      <w:pPr>
        <w:jc w:val="center"/>
        <w:rPr>
          <w:sz w:val="22"/>
          <w:szCs w:val="22"/>
        </w:rPr>
      </w:pPr>
      <w:r w:rsidRPr="000F7722">
        <w:rPr>
          <w:sz w:val="22"/>
          <w:szCs w:val="22"/>
        </w:rPr>
        <w:t>Soinel F</w:t>
      </w:r>
      <w:r w:rsidR="00915149" w:rsidRPr="000F7722">
        <w:rPr>
          <w:sz w:val="22"/>
          <w:szCs w:val="22"/>
        </w:rPr>
        <w:t>RANCOIS</w:t>
      </w:r>
      <w:r w:rsidR="00FC1BEC" w:rsidRPr="000F7722">
        <w:rPr>
          <w:sz w:val="22"/>
          <w:szCs w:val="22"/>
        </w:rPr>
        <w:t xml:space="preserve">, </w:t>
      </w:r>
      <w:r w:rsidRPr="000F7722">
        <w:rPr>
          <w:sz w:val="22"/>
          <w:szCs w:val="22"/>
        </w:rPr>
        <w:t xml:space="preserve">téléphone (509) </w:t>
      </w:r>
      <w:r w:rsidR="000B1C4C" w:rsidRPr="000F7722">
        <w:rPr>
          <w:sz w:val="22"/>
          <w:szCs w:val="22"/>
        </w:rPr>
        <w:t>4902-7830</w:t>
      </w:r>
      <w:r w:rsidRPr="000F7722">
        <w:rPr>
          <w:sz w:val="22"/>
          <w:szCs w:val="22"/>
        </w:rPr>
        <w:t>,</w:t>
      </w:r>
    </w:p>
    <w:p w14:paraId="493C4071" w14:textId="660FC80F" w:rsidR="007C314B" w:rsidRPr="000F7722" w:rsidRDefault="00A86346" w:rsidP="00D44001">
      <w:pPr>
        <w:jc w:val="center"/>
        <w:rPr>
          <w:sz w:val="22"/>
          <w:szCs w:val="22"/>
        </w:rPr>
      </w:pPr>
      <w:r w:rsidRPr="000F7722">
        <w:rPr>
          <w:sz w:val="22"/>
          <w:szCs w:val="22"/>
        </w:rPr>
        <w:t>zone Trois Poteaux, rue Dignety, Gros Morne</w:t>
      </w:r>
    </w:p>
    <w:p w14:paraId="431F3ADD" w14:textId="3D62F8B3" w:rsidR="000434D3" w:rsidRPr="000F7722" w:rsidRDefault="000434D3" w:rsidP="000434D3">
      <w:pPr>
        <w:pStyle w:val="Blockquote"/>
        <w:ind w:left="709" w:right="26"/>
        <w:jc w:val="both"/>
        <w:rPr>
          <w:sz w:val="22"/>
          <w:szCs w:val="22"/>
        </w:rPr>
      </w:pPr>
      <w:r w:rsidRPr="000F7722">
        <w:rPr>
          <w:sz w:val="22"/>
          <w:szCs w:val="22"/>
        </w:rPr>
        <w:t>L’</w:t>
      </w:r>
      <w:r w:rsidRPr="000F7722">
        <w:rPr>
          <w:rStyle w:val="lev"/>
          <w:b w:val="0"/>
          <w:sz w:val="22"/>
          <w:szCs w:val="22"/>
        </w:rPr>
        <w:t>intitulé du marché</w:t>
      </w:r>
      <w:r w:rsidRPr="000F7722">
        <w:rPr>
          <w:sz w:val="22"/>
          <w:szCs w:val="22"/>
        </w:rPr>
        <w:t xml:space="preserve"> et la </w:t>
      </w:r>
      <w:r w:rsidRPr="000F7722">
        <w:rPr>
          <w:rStyle w:val="lev"/>
          <w:b w:val="0"/>
          <w:sz w:val="22"/>
          <w:szCs w:val="22"/>
        </w:rPr>
        <w:t>référence de la publication</w:t>
      </w:r>
      <w:r w:rsidRPr="000F7722">
        <w:rPr>
          <w:sz w:val="22"/>
          <w:szCs w:val="22"/>
        </w:rPr>
        <w:t xml:space="preserve"> (voir point 1 ci-dessus) doivent être mentionnés sur l’enveloppe contenant </w:t>
      </w:r>
      <w:r w:rsidR="00A459BF" w:rsidRPr="000F7722">
        <w:rPr>
          <w:sz w:val="22"/>
          <w:szCs w:val="22"/>
        </w:rPr>
        <w:t xml:space="preserve">l’offre </w:t>
      </w:r>
      <w:r w:rsidRPr="000F7722">
        <w:rPr>
          <w:sz w:val="22"/>
          <w:szCs w:val="22"/>
        </w:rPr>
        <w:t xml:space="preserve">et dans toute correspondance ultérieure avec </w:t>
      </w:r>
      <w:r w:rsidR="005D4292" w:rsidRPr="000F7722">
        <w:rPr>
          <w:sz w:val="22"/>
          <w:szCs w:val="22"/>
        </w:rPr>
        <w:t>l’autorité contractante</w:t>
      </w:r>
      <w:r w:rsidRPr="000F7722">
        <w:rPr>
          <w:sz w:val="22"/>
          <w:szCs w:val="22"/>
        </w:rPr>
        <w:t>.</w:t>
      </w:r>
    </w:p>
    <w:p w14:paraId="20221A50" w14:textId="77777777" w:rsidR="000434D3" w:rsidRPr="000F7722" w:rsidRDefault="000434D3" w:rsidP="000434D3">
      <w:pPr>
        <w:pStyle w:val="Blockquote"/>
        <w:ind w:left="709" w:right="26"/>
        <w:jc w:val="both"/>
        <w:rPr>
          <w:rStyle w:val="lev"/>
          <w:b w:val="0"/>
          <w:sz w:val="22"/>
          <w:szCs w:val="22"/>
        </w:rPr>
      </w:pPr>
      <w:r w:rsidRPr="000F7722">
        <w:rPr>
          <w:rStyle w:val="lev"/>
          <w:b w:val="0"/>
          <w:sz w:val="22"/>
          <w:szCs w:val="22"/>
        </w:rPr>
        <w:t>Les offres soumises par d’autres moyens ne seront pas prises en considération.</w:t>
      </w:r>
    </w:p>
    <w:p w14:paraId="5758235D" w14:textId="05497ABC" w:rsidR="000434D3" w:rsidRPr="000F7722" w:rsidRDefault="000434D3" w:rsidP="000434D3">
      <w:pPr>
        <w:pStyle w:val="Blockquote"/>
        <w:ind w:left="709" w:right="26"/>
        <w:jc w:val="both"/>
        <w:rPr>
          <w:rStyle w:val="lev"/>
          <w:b w:val="0"/>
          <w:sz w:val="22"/>
          <w:szCs w:val="22"/>
        </w:rPr>
      </w:pPr>
      <w:r w:rsidRPr="000F7722">
        <w:rPr>
          <w:sz w:val="22"/>
          <w:szCs w:val="22"/>
        </w:rPr>
        <w:t>En soumettant une offre, les</w:t>
      </w:r>
      <w:r w:rsidR="0072042A" w:rsidRPr="000F7722">
        <w:rPr>
          <w:sz w:val="22"/>
          <w:szCs w:val="22"/>
        </w:rPr>
        <w:t xml:space="preserve"> soumissionnaires</w:t>
      </w:r>
      <w:r w:rsidRPr="000F7722">
        <w:rPr>
          <w:sz w:val="22"/>
          <w:szCs w:val="22"/>
        </w:rPr>
        <w:t xml:space="preserve"> acceptent d'être informés des résultats de la procédure par voie électronique. Cette notification est réputée avoir été reçue à la date à laquelle </w:t>
      </w:r>
      <w:r w:rsidR="005D4292" w:rsidRPr="000F7722">
        <w:rPr>
          <w:sz w:val="22"/>
          <w:szCs w:val="22"/>
        </w:rPr>
        <w:t xml:space="preserve">l’autorité contractante </w:t>
      </w:r>
      <w:r w:rsidRPr="000F7722">
        <w:rPr>
          <w:sz w:val="22"/>
          <w:szCs w:val="22"/>
        </w:rPr>
        <w:t>l'a envoyée à l'adresse électronique indiquée dans</w:t>
      </w:r>
      <w:r w:rsidR="00A459BF" w:rsidRPr="000F7722">
        <w:rPr>
          <w:sz w:val="22"/>
          <w:szCs w:val="22"/>
        </w:rPr>
        <w:t xml:space="preserve"> l’offre</w:t>
      </w:r>
      <w:r w:rsidRPr="000F7722">
        <w:rPr>
          <w:sz w:val="22"/>
          <w:szCs w:val="22"/>
        </w:rPr>
        <w:t>.</w:t>
      </w:r>
    </w:p>
    <w:p w14:paraId="6B517861" w14:textId="77777777" w:rsidR="002139C6" w:rsidRPr="000F7722" w:rsidRDefault="005D55FE" w:rsidP="00805EFA">
      <w:pPr>
        <w:pStyle w:val="PRAGHeading2"/>
        <w:rPr>
          <w:rStyle w:val="lev"/>
          <w:sz w:val="22"/>
          <w:szCs w:val="22"/>
        </w:rPr>
      </w:pPr>
      <w:r w:rsidRPr="000F7722">
        <w:rPr>
          <w:rStyle w:val="lev"/>
          <w:sz w:val="22"/>
          <w:szCs w:val="22"/>
        </w:rPr>
        <w:t>Séance d’ouverture des offres</w:t>
      </w:r>
    </w:p>
    <w:p w14:paraId="2F841A06" w14:textId="021EAE53" w:rsidR="002139C6" w:rsidRPr="000F7722" w:rsidRDefault="005D55FE" w:rsidP="007E39D8">
      <w:pPr>
        <w:ind w:left="709"/>
        <w:jc w:val="both"/>
        <w:rPr>
          <w:sz w:val="22"/>
          <w:szCs w:val="22"/>
        </w:rPr>
      </w:pPr>
      <w:r w:rsidRPr="000F7722">
        <w:rPr>
          <w:sz w:val="22"/>
          <w:szCs w:val="22"/>
        </w:rPr>
        <w:t xml:space="preserve">Les offres seront ouvertes en </w:t>
      </w:r>
      <w:r w:rsidRPr="000F7722">
        <w:rPr>
          <w:b/>
          <w:sz w:val="22"/>
          <w:szCs w:val="22"/>
        </w:rPr>
        <w:t xml:space="preserve">séance publique le </w:t>
      </w:r>
      <w:r w:rsidR="00C45F74" w:rsidRPr="000F7722">
        <w:rPr>
          <w:b/>
          <w:sz w:val="22"/>
          <w:szCs w:val="22"/>
        </w:rPr>
        <w:t xml:space="preserve">vendredi </w:t>
      </w:r>
      <w:r w:rsidR="00DC3EEA" w:rsidRPr="000F7722">
        <w:rPr>
          <w:b/>
          <w:sz w:val="22"/>
          <w:szCs w:val="22"/>
        </w:rPr>
        <w:t>1</w:t>
      </w:r>
      <w:r w:rsidR="00C45F74" w:rsidRPr="000F7722">
        <w:rPr>
          <w:b/>
          <w:sz w:val="22"/>
          <w:szCs w:val="22"/>
          <w:vertAlign w:val="superscript"/>
        </w:rPr>
        <w:t>er</w:t>
      </w:r>
      <w:r w:rsidR="00C45F74" w:rsidRPr="000F7722">
        <w:rPr>
          <w:b/>
          <w:sz w:val="22"/>
          <w:szCs w:val="22"/>
        </w:rPr>
        <w:t xml:space="preserve"> </w:t>
      </w:r>
      <w:r w:rsidR="004D55C0" w:rsidRPr="000F7722">
        <w:rPr>
          <w:b/>
          <w:sz w:val="22"/>
          <w:szCs w:val="22"/>
        </w:rPr>
        <w:t xml:space="preserve">juillet </w:t>
      </w:r>
      <w:r w:rsidRPr="000F7722">
        <w:rPr>
          <w:b/>
          <w:sz w:val="22"/>
          <w:szCs w:val="22"/>
        </w:rPr>
        <w:t>2022 à 1</w:t>
      </w:r>
      <w:r w:rsidR="00C45F74" w:rsidRPr="000F7722">
        <w:rPr>
          <w:b/>
          <w:sz w:val="22"/>
          <w:szCs w:val="22"/>
        </w:rPr>
        <w:t>0</w:t>
      </w:r>
      <w:r w:rsidRPr="000F7722">
        <w:rPr>
          <w:b/>
          <w:sz w:val="22"/>
          <w:szCs w:val="22"/>
        </w:rPr>
        <w:t>h</w:t>
      </w:r>
      <w:r w:rsidR="00C45F74" w:rsidRPr="000F7722">
        <w:rPr>
          <w:b/>
          <w:sz w:val="22"/>
          <w:szCs w:val="22"/>
        </w:rPr>
        <w:t>0</w:t>
      </w:r>
      <w:r w:rsidRPr="000F7722">
        <w:rPr>
          <w:b/>
          <w:sz w:val="22"/>
          <w:szCs w:val="22"/>
        </w:rPr>
        <w:t xml:space="preserve">0 am (heure locale en Haïti) au bureau du Gret à Gros-Morne sise # 2, zone Trois Poteaux, rue Dignety </w:t>
      </w:r>
      <w:r w:rsidRPr="000F7722">
        <w:rPr>
          <w:sz w:val="22"/>
          <w:szCs w:val="22"/>
        </w:rPr>
        <w:t>par le comité désigné à cette fin. Le comité établira le procès-verbal de la réunion, mis à la disposition des soumissionnaires à leur demande.</w:t>
      </w:r>
      <w:r w:rsidR="00F947C7" w:rsidRPr="000F7722">
        <w:rPr>
          <w:sz w:val="22"/>
          <w:szCs w:val="22"/>
        </w:rPr>
        <w:t xml:space="preserve"> </w:t>
      </w:r>
    </w:p>
    <w:p w14:paraId="79E72A86" w14:textId="77777777" w:rsidR="000B5CA1" w:rsidRPr="000F7722" w:rsidRDefault="005D55FE" w:rsidP="00805EFA">
      <w:pPr>
        <w:pStyle w:val="PRAGHeading2"/>
        <w:rPr>
          <w:rStyle w:val="lev"/>
          <w:sz w:val="22"/>
          <w:szCs w:val="22"/>
        </w:rPr>
      </w:pPr>
      <w:r w:rsidRPr="000F7722">
        <w:rPr>
          <w:rStyle w:val="lev"/>
          <w:sz w:val="22"/>
          <w:szCs w:val="22"/>
        </w:rPr>
        <w:lastRenderedPageBreak/>
        <w:t>Langue de la procédure</w:t>
      </w:r>
    </w:p>
    <w:p w14:paraId="3457486C" w14:textId="77777777" w:rsidR="000B5CA1" w:rsidRPr="000F7722" w:rsidRDefault="000B5CA1" w:rsidP="00BE3363">
      <w:pPr>
        <w:ind w:left="709"/>
        <w:rPr>
          <w:sz w:val="22"/>
          <w:szCs w:val="22"/>
        </w:rPr>
      </w:pPr>
      <w:r w:rsidRPr="000F7722">
        <w:rPr>
          <w:rStyle w:val="lev"/>
          <w:b w:val="0"/>
          <w:sz w:val="22"/>
          <w:szCs w:val="22"/>
        </w:rPr>
        <w:t xml:space="preserve">Le </w:t>
      </w:r>
      <w:r w:rsidR="005D55FE" w:rsidRPr="000F7722">
        <w:rPr>
          <w:rStyle w:val="lev"/>
          <w:b w:val="0"/>
          <w:sz w:val="22"/>
          <w:szCs w:val="22"/>
        </w:rPr>
        <w:t>français</w:t>
      </w:r>
      <w:r w:rsidRPr="000F7722">
        <w:rPr>
          <w:rStyle w:val="lev"/>
          <w:b w:val="0"/>
          <w:sz w:val="22"/>
          <w:szCs w:val="22"/>
        </w:rPr>
        <w:t xml:space="preserve"> sera utilisé dans toute communication écrite relative au présent appel d’offres et au présent marché.</w:t>
      </w:r>
    </w:p>
    <w:p w14:paraId="2C0CDAAA" w14:textId="77777777" w:rsidR="002139C6" w:rsidRPr="000F7722" w:rsidRDefault="005D55FE" w:rsidP="0030441E">
      <w:pPr>
        <w:pStyle w:val="PRAGHeading2"/>
        <w:keepNext/>
        <w:widowControl/>
        <w:rPr>
          <w:rStyle w:val="lev"/>
          <w:sz w:val="22"/>
          <w:szCs w:val="22"/>
        </w:rPr>
      </w:pPr>
      <w:r w:rsidRPr="000F7722">
        <w:rPr>
          <w:rStyle w:val="lev"/>
          <w:sz w:val="22"/>
          <w:szCs w:val="22"/>
        </w:rPr>
        <w:t>Base juridique</w:t>
      </w:r>
      <w:r w:rsidRPr="000F7722">
        <w:rPr>
          <w:rStyle w:val="Appelnotedebasdep"/>
          <w:b/>
          <w:sz w:val="22"/>
          <w:szCs w:val="22"/>
        </w:rPr>
        <w:footnoteReference w:id="1"/>
      </w:r>
    </w:p>
    <w:p w14:paraId="43F6449E" w14:textId="2C9BBA27" w:rsidR="00096962" w:rsidRPr="000F7722" w:rsidRDefault="00E95D7C" w:rsidP="0030441E">
      <w:pPr>
        <w:pStyle w:val="PRAGHeading2"/>
        <w:numPr>
          <w:ilvl w:val="0"/>
          <w:numId w:val="0"/>
        </w:numPr>
        <w:ind w:left="709"/>
        <w:jc w:val="both"/>
        <w:rPr>
          <w:sz w:val="22"/>
          <w:szCs w:val="22"/>
        </w:rPr>
      </w:pPr>
      <w:r w:rsidRPr="000F7722" w:rsidDel="00E95D7C">
        <w:rPr>
          <w:sz w:val="22"/>
          <w:szCs w:val="22"/>
        </w:rPr>
        <w:t xml:space="preserve"> </w:t>
      </w:r>
      <w:r w:rsidR="005D55FE" w:rsidRPr="000F7722">
        <w:rPr>
          <w:sz w:val="22"/>
          <w:szCs w:val="22"/>
        </w:rPr>
        <w:t xml:space="preserve">Annexe IV de l’accord de partenariat entre les membres du groupe des États d’Afrique, des Caraïbes et du Pacifique, d’une part, et la Communauté européenne et ses États membres, d’autre part, signé à Cotonou le 23 juin 2000, modifié à Luxembourg le 25 juin 2005 et à Ouagadougou le 22 juin 2010. Il est fait référence à l’annexe IV telle que révisée par la décision n° 1/2014 du Conseil des ministres ACP-UE du 20 juin 2014.] </w:t>
      </w:r>
    </w:p>
    <w:sectPr w:rsidR="00096962" w:rsidRPr="000F7722" w:rsidSect="00D44001">
      <w:footerReference w:type="default" r:id="rId11"/>
      <w:pgSz w:w="12240" w:h="15840" w:code="1"/>
      <w:pgMar w:top="1440" w:right="1440" w:bottom="1276" w:left="1440" w:header="851" w:footer="618"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2C3FD" w14:textId="77777777" w:rsidR="00253371" w:rsidRDefault="00253371">
      <w:r>
        <w:separator/>
      </w:r>
    </w:p>
  </w:endnote>
  <w:endnote w:type="continuationSeparator" w:id="0">
    <w:p w14:paraId="0B922C24" w14:textId="77777777" w:rsidR="00253371" w:rsidRDefault="0025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F59E" w14:textId="087642E3" w:rsidR="00FD2C2F" w:rsidRPr="000F07CD" w:rsidRDefault="00FD2C2F" w:rsidP="009B4A52">
    <w:pPr>
      <w:pStyle w:val="Pieddepage"/>
      <w:tabs>
        <w:tab w:val="clear" w:pos="4536"/>
        <w:tab w:val="clear" w:pos="9072"/>
        <w:tab w:val="right" w:pos="9356"/>
      </w:tabs>
      <w:spacing w:before="0" w:after="0"/>
      <w:rPr>
        <w:rStyle w:val="Numrodepage"/>
        <w:sz w:val="18"/>
        <w:szCs w:val="18"/>
      </w:rPr>
    </w:pPr>
    <w:r>
      <w:tab/>
    </w:r>
    <w:r>
      <w:rPr>
        <w:sz w:val="18"/>
      </w:rPr>
      <w:t>Page </w:t>
    </w:r>
    <w:r w:rsidR="004E6D3B">
      <w:rPr>
        <w:rStyle w:val="Numrodepage"/>
        <w:noProof/>
        <w:sz w:val="18"/>
        <w:szCs w:val="18"/>
      </w:rPr>
      <w:t>6</w:t>
    </w:r>
    <w:r>
      <w:rPr>
        <w:rStyle w:val="Numrodepage"/>
        <w:sz w:val="18"/>
      </w:rPr>
      <w:t xml:space="preserve"> sur </w:t>
    </w:r>
    <w:r w:rsidR="004E6D3B">
      <w:rPr>
        <w:rStyle w:val="Numrodepage"/>
        <w:noProof/>
        <w:sz w:val="18"/>
        <w:szCs w:val="18"/>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1ED2C" w14:textId="77777777" w:rsidR="00253371" w:rsidRDefault="00253371">
      <w:r>
        <w:separator/>
      </w:r>
    </w:p>
  </w:footnote>
  <w:footnote w:type="continuationSeparator" w:id="0">
    <w:p w14:paraId="05D4D499" w14:textId="77777777" w:rsidR="00253371" w:rsidRDefault="00253371">
      <w:r>
        <w:continuationSeparator/>
      </w:r>
    </w:p>
  </w:footnote>
  <w:footnote w:id="1">
    <w:p w14:paraId="11E30BC5" w14:textId="77777777" w:rsidR="00FD2C2F" w:rsidRPr="00927636" w:rsidRDefault="00FD2C2F" w:rsidP="00CD3E5E">
      <w:pPr>
        <w:pStyle w:val="Notedebasdepage"/>
        <w:rPr>
          <w:lang w:val="fr-BE"/>
        </w:rPr>
      </w:pPr>
      <w:r>
        <w:rPr>
          <w:rStyle w:val="Appelnotedebasdep"/>
        </w:rPr>
        <w:footnoteRef/>
      </w:r>
      <w:r>
        <w:tab/>
        <w:t>Indiquez toute particularité (par exemple géographique, thématique ou à court/ long terme) susceptible d’avoir un impact sur les règles de participation.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0B561F9D"/>
    <w:multiLevelType w:val="hybridMultilevel"/>
    <w:tmpl w:val="2EA0247E"/>
    <w:lvl w:ilvl="0" w:tplc="473C203E">
      <w:start w:val="1"/>
      <w:numFmt w:val="decimal"/>
      <w:pStyle w:val="PRAGHeading2"/>
      <w:lvlText w:val="%1."/>
      <w:lvlJc w:val="left"/>
      <w:pPr>
        <w:tabs>
          <w:tab w:val="num" w:pos="0"/>
        </w:tabs>
        <w:ind w:left="0" w:firstLine="0"/>
      </w:pPr>
      <w:rPr>
        <w:rFonts w:ascii="Times New Roman" w:hAnsi="Times New Roman" w:hint="default"/>
        <w:b/>
        <w:i w:val="0"/>
        <w:sz w:val="22"/>
        <w:szCs w:val="22"/>
      </w:rPr>
    </w:lvl>
    <w:lvl w:ilvl="1" w:tplc="08090019">
      <w:start w:val="1"/>
      <w:numFmt w:val="lowerLetter"/>
      <w:lvlText w:val="%2."/>
      <w:lvlJc w:val="left"/>
      <w:pPr>
        <w:tabs>
          <w:tab w:val="num" w:pos="-5640"/>
        </w:tabs>
        <w:ind w:left="-5640" w:hanging="360"/>
      </w:pPr>
    </w:lvl>
    <w:lvl w:ilvl="2" w:tplc="0809001B" w:tentative="1">
      <w:start w:val="1"/>
      <w:numFmt w:val="lowerRoman"/>
      <w:lvlText w:val="%3."/>
      <w:lvlJc w:val="right"/>
      <w:pPr>
        <w:tabs>
          <w:tab w:val="num" w:pos="-4920"/>
        </w:tabs>
        <w:ind w:left="-4920" w:hanging="180"/>
      </w:pPr>
    </w:lvl>
    <w:lvl w:ilvl="3" w:tplc="0809000F" w:tentative="1">
      <w:start w:val="1"/>
      <w:numFmt w:val="decimal"/>
      <w:lvlText w:val="%4."/>
      <w:lvlJc w:val="left"/>
      <w:pPr>
        <w:tabs>
          <w:tab w:val="num" w:pos="-4200"/>
        </w:tabs>
        <w:ind w:left="-420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2760"/>
        </w:tabs>
        <w:ind w:left="-2760" w:hanging="180"/>
      </w:pPr>
    </w:lvl>
    <w:lvl w:ilvl="6" w:tplc="0809000F" w:tentative="1">
      <w:start w:val="1"/>
      <w:numFmt w:val="decimal"/>
      <w:lvlText w:val="%7."/>
      <w:lvlJc w:val="left"/>
      <w:pPr>
        <w:tabs>
          <w:tab w:val="num" w:pos="-2040"/>
        </w:tabs>
        <w:ind w:left="-2040" w:hanging="360"/>
      </w:pPr>
    </w:lvl>
    <w:lvl w:ilvl="7" w:tplc="08090019" w:tentative="1">
      <w:start w:val="1"/>
      <w:numFmt w:val="lowerLetter"/>
      <w:lvlText w:val="%8."/>
      <w:lvlJc w:val="left"/>
      <w:pPr>
        <w:tabs>
          <w:tab w:val="num" w:pos="-1320"/>
        </w:tabs>
        <w:ind w:left="-1320" w:hanging="360"/>
      </w:pPr>
    </w:lvl>
    <w:lvl w:ilvl="8" w:tplc="0809001B" w:tentative="1">
      <w:start w:val="1"/>
      <w:numFmt w:val="lowerRoman"/>
      <w:lvlText w:val="%9."/>
      <w:lvlJc w:val="right"/>
      <w:pPr>
        <w:tabs>
          <w:tab w:val="num" w:pos="-600"/>
        </w:tabs>
        <w:ind w:left="-600" w:hanging="180"/>
      </w:pPr>
    </w:lvl>
  </w:abstractNum>
  <w:abstractNum w:abstractNumId="2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127401E"/>
    <w:multiLevelType w:val="hybridMultilevel"/>
    <w:tmpl w:val="1AB01736"/>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31" w15:restartNumberingAfterBreak="0">
    <w:nsid w:val="18F06432"/>
    <w:multiLevelType w:val="multilevel"/>
    <w:tmpl w:val="95F41EC0"/>
    <w:lvl w:ilvl="0">
      <w:start w:val="1"/>
      <w:numFmt w:val="decimal"/>
      <w:lvlText w:val="%1."/>
      <w:lvlJc w:val="left"/>
      <w:pPr>
        <w:tabs>
          <w:tab w:val="num" w:pos="851"/>
        </w:tabs>
        <w:ind w:left="851" w:hanging="567"/>
      </w:pPr>
      <w:rPr>
        <w:rFonts w:ascii="Times New Roman" w:hAnsi="Times New Roman"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22E726CA"/>
    <w:multiLevelType w:val="hybridMultilevel"/>
    <w:tmpl w:val="70FAC608"/>
    <w:lvl w:ilvl="0" w:tplc="A71EDCA6">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3482F5A"/>
    <w:multiLevelType w:val="hybridMultilevel"/>
    <w:tmpl w:val="543AC724"/>
    <w:lvl w:ilvl="0" w:tplc="AF6A0AC2">
      <w:start w:val="1"/>
      <w:numFmt w:val="decimal"/>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79861BD"/>
    <w:multiLevelType w:val="multilevel"/>
    <w:tmpl w:val="E842D73C"/>
    <w:lvl w:ilvl="0">
      <w:start w:val="1"/>
      <w:numFmt w:val="decimal"/>
      <w:lvlText w:val="%1."/>
      <w:lvlJc w:val="left"/>
      <w:pPr>
        <w:tabs>
          <w:tab w:val="num" w:pos="851"/>
        </w:tabs>
        <w:ind w:left="851" w:hanging="567"/>
      </w:pPr>
      <w:rPr>
        <w:rFonts w:ascii="Times New Roman" w:hAnsi="Times New Roman"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B7A2451"/>
    <w:multiLevelType w:val="hybridMultilevel"/>
    <w:tmpl w:val="D06ECCCE"/>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AF2274"/>
    <w:multiLevelType w:val="multilevel"/>
    <w:tmpl w:val="265ABFA6"/>
    <w:lvl w:ilvl="0">
      <w:start w:val="1"/>
      <w:numFmt w:val="decimal"/>
      <w:lvlText w:val="%1."/>
      <w:lvlJc w:val="left"/>
      <w:pPr>
        <w:tabs>
          <w:tab w:val="num" w:pos="1418"/>
        </w:tabs>
        <w:ind w:left="1418" w:hanging="567"/>
      </w:pPr>
      <w:rPr>
        <w:rFonts w:ascii="Times New Roman" w:hAnsi="Times New Roman"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9604FEA"/>
    <w:multiLevelType w:val="multilevel"/>
    <w:tmpl w:val="4F942F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F82653"/>
    <w:multiLevelType w:val="hybridMultilevel"/>
    <w:tmpl w:val="D12E6FB6"/>
    <w:lvl w:ilvl="0" w:tplc="E494A622">
      <w:start w:val="1"/>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0"/>
    <w:lvlOverride w:ilvl="0">
      <w:lvl w:ilvl="0">
        <w:numFmt w:val="bullet"/>
        <w:lvlText w:val=""/>
        <w:lvlJc w:val="left"/>
        <w:pPr>
          <w:ind w:left="720" w:hanging="360"/>
        </w:pPr>
        <w:rPr>
          <w:rFonts w:ascii="Times New Roman" w:hAnsi="Times New Roman" w:hint="default"/>
        </w:rPr>
      </w:lvl>
    </w:lvlOverride>
  </w:num>
  <w:num w:numId="27">
    <w:abstractNumId w:val="34"/>
  </w:num>
  <w:num w:numId="28">
    <w:abstractNumId w:val="29"/>
  </w:num>
  <w:num w:numId="29">
    <w:abstractNumId w:val="27"/>
  </w:num>
  <w:num w:numId="30">
    <w:abstractNumId w:val="0"/>
    <w:lvlOverride w:ilvl="0">
      <w:lvl w:ilvl="0">
        <w:numFmt w:val="bullet"/>
        <w:lvlText w:val=""/>
        <w:legacy w:legacy="1" w:legacySpace="0" w:legacyIndent="360"/>
        <w:lvlJc w:val="left"/>
        <w:pPr>
          <w:ind w:left="0" w:hanging="360"/>
        </w:pPr>
        <w:rPr>
          <w:rFonts w:ascii="Symbol" w:hAnsi="Symbol" w:hint="default"/>
        </w:rPr>
      </w:lvl>
    </w:lvlOverride>
  </w:num>
  <w:num w:numId="31">
    <w:abstractNumId w:val="28"/>
  </w:num>
  <w:num w:numId="32">
    <w:abstractNumId w:val="39"/>
  </w:num>
  <w:num w:numId="33">
    <w:abstractNumId w:val="37"/>
  </w:num>
  <w:num w:numId="34">
    <w:abstractNumId w:val="28"/>
    <w:lvlOverride w:ilvl="0">
      <w:startOverride w:val="1"/>
    </w:lvlOverride>
  </w:num>
  <w:num w:numId="35">
    <w:abstractNumId w:val="35"/>
  </w:num>
  <w:num w:numId="36">
    <w:abstractNumId w:val="31"/>
  </w:num>
  <w:num w:numId="37">
    <w:abstractNumId w:val="33"/>
  </w:num>
  <w:num w:numId="38">
    <w:abstractNumId w:val="28"/>
    <w:lvlOverride w:ilvl="0">
      <w:startOverride w:val="1"/>
    </w:lvlOverride>
  </w:num>
  <w:num w:numId="39">
    <w:abstractNumId w:val="36"/>
  </w:num>
  <w:num w:numId="40">
    <w:abstractNumId w:val="0"/>
    <w:lvlOverride w:ilvl="0">
      <w:lvl w:ilvl="0">
        <w:numFmt w:val="bullet"/>
        <w:lvlText w:val=""/>
        <w:legacy w:legacy="1" w:legacySpace="0" w:legacyIndent="360"/>
        <w:lvlJc w:val="left"/>
        <w:pPr>
          <w:ind w:left="720" w:hanging="360"/>
        </w:pPr>
        <w:rPr>
          <w:rFonts w:ascii="Symbol" w:hAnsi="Symbol" w:hint="default"/>
        </w:rPr>
      </w:lvl>
    </w:lvlOverride>
  </w:num>
  <w:num w:numId="41">
    <w:abstractNumId w:val="38"/>
  </w:num>
  <w:num w:numId="42">
    <w:abstractNumId w:val="30"/>
  </w:num>
  <w:num w:numId="43">
    <w:abstractNumId w:val="3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C733BD"/>
    <w:rsid w:val="000003DE"/>
    <w:rsid w:val="00012164"/>
    <w:rsid w:val="00012D1E"/>
    <w:rsid w:val="000132F4"/>
    <w:rsid w:val="000158F3"/>
    <w:rsid w:val="0002576E"/>
    <w:rsid w:val="000434D3"/>
    <w:rsid w:val="00046700"/>
    <w:rsid w:val="00051BB6"/>
    <w:rsid w:val="00055907"/>
    <w:rsid w:val="00061733"/>
    <w:rsid w:val="00065E5A"/>
    <w:rsid w:val="0007551A"/>
    <w:rsid w:val="000824D8"/>
    <w:rsid w:val="00084CA1"/>
    <w:rsid w:val="000916A9"/>
    <w:rsid w:val="00096962"/>
    <w:rsid w:val="000A23E7"/>
    <w:rsid w:val="000A25C1"/>
    <w:rsid w:val="000A65A5"/>
    <w:rsid w:val="000B1C4C"/>
    <w:rsid w:val="000B5C1F"/>
    <w:rsid w:val="000B5CA1"/>
    <w:rsid w:val="000C17BD"/>
    <w:rsid w:val="000C2720"/>
    <w:rsid w:val="000C7638"/>
    <w:rsid w:val="000D17E3"/>
    <w:rsid w:val="000D21D2"/>
    <w:rsid w:val="000D6854"/>
    <w:rsid w:val="000E10F1"/>
    <w:rsid w:val="000E7CC4"/>
    <w:rsid w:val="000E7E48"/>
    <w:rsid w:val="000F07CD"/>
    <w:rsid w:val="000F67CD"/>
    <w:rsid w:val="000F7722"/>
    <w:rsid w:val="00102BA5"/>
    <w:rsid w:val="0010679C"/>
    <w:rsid w:val="00113543"/>
    <w:rsid w:val="0012198B"/>
    <w:rsid w:val="00124E3D"/>
    <w:rsid w:val="00134580"/>
    <w:rsid w:val="00143C79"/>
    <w:rsid w:val="00144A03"/>
    <w:rsid w:val="0015584F"/>
    <w:rsid w:val="001705B4"/>
    <w:rsid w:val="0017313D"/>
    <w:rsid w:val="0017755B"/>
    <w:rsid w:val="001854FA"/>
    <w:rsid w:val="00187C07"/>
    <w:rsid w:val="00192CE6"/>
    <w:rsid w:val="00193AA4"/>
    <w:rsid w:val="001A65EB"/>
    <w:rsid w:val="001C45A8"/>
    <w:rsid w:val="001C552D"/>
    <w:rsid w:val="001C62A4"/>
    <w:rsid w:val="001D6F33"/>
    <w:rsid w:val="001E23AC"/>
    <w:rsid w:val="001E3404"/>
    <w:rsid w:val="001F2EAB"/>
    <w:rsid w:val="001F68E5"/>
    <w:rsid w:val="002030A6"/>
    <w:rsid w:val="0020758C"/>
    <w:rsid w:val="002139C6"/>
    <w:rsid w:val="00226910"/>
    <w:rsid w:val="00237972"/>
    <w:rsid w:val="00240E69"/>
    <w:rsid w:val="002423E9"/>
    <w:rsid w:val="00244691"/>
    <w:rsid w:val="00253371"/>
    <w:rsid w:val="002608B3"/>
    <w:rsid w:val="002622DE"/>
    <w:rsid w:val="002654E1"/>
    <w:rsid w:val="002719BD"/>
    <w:rsid w:val="00272709"/>
    <w:rsid w:val="00276D41"/>
    <w:rsid w:val="00283DDC"/>
    <w:rsid w:val="002861BD"/>
    <w:rsid w:val="0029420A"/>
    <w:rsid w:val="002A0F9A"/>
    <w:rsid w:val="002A7B14"/>
    <w:rsid w:val="002B391A"/>
    <w:rsid w:val="002D4024"/>
    <w:rsid w:val="002D7868"/>
    <w:rsid w:val="002E5030"/>
    <w:rsid w:val="002E66D8"/>
    <w:rsid w:val="002E735D"/>
    <w:rsid w:val="002E7C2B"/>
    <w:rsid w:val="002F1040"/>
    <w:rsid w:val="002F54C8"/>
    <w:rsid w:val="0030441E"/>
    <w:rsid w:val="003100BB"/>
    <w:rsid w:val="0031245B"/>
    <w:rsid w:val="00315005"/>
    <w:rsid w:val="00315CB3"/>
    <w:rsid w:val="00321225"/>
    <w:rsid w:val="00322322"/>
    <w:rsid w:val="00324F03"/>
    <w:rsid w:val="003370FC"/>
    <w:rsid w:val="00337F6E"/>
    <w:rsid w:val="00341E7E"/>
    <w:rsid w:val="003432DB"/>
    <w:rsid w:val="00345D09"/>
    <w:rsid w:val="00366082"/>
    <w:rsid w:val="0037605D"/>
    <w:rsid w:val="0037786C"/>
    <w:rsid w:val="0037786E"/>
    <w:rsid w:val="003819A3"/>
    <w:rsid w:val="00383D66"/>
    <w:rsid w:val="003923FE"/>
    <w:rsid w:val="00394E6E"/>
    <w:rsid w:val="003A2491"/>
    <w:rsid w:val="003A6721"/>
    <w:rsid w:val="003A720F"/>
    <w:rsid w:val="003B2778"/>
    <w:rsid w:val="003B2B49"/>
    <w:rsid w:val="003B3E0F"/>
    <w:rsid w:val="003B7B6F"/>
    <w:rsid w:val="003E27E0"/>
    <w:rsid w:val="003E4A91"/>
    <w:rsid w:val="003E4C38"/>
    <w:rsid w:val="003E5E93"/>
    <w:rsid w:val="004054FE"/>
    <w:rsid w:val="00405ED1"/>
    <w:rsid w:val="00411381"/>
    <w:rsid w:val="00411AF1"/>
    <w:rsid w:val="00422B47"/>
    <w:rsid w:val="00424AD7"/>
    <w:rsid w:val="00427DCC"/>
    <w:rsid w:val="0043263D"/>
    <w:rsid w:val="00434120"/>
    <w:rsid w:val="004430E0"/>
    <w:rsid w:val="0046267B"/>
    <w:rsid w:val="004664C5"/>
    <w:rsid w:val="00475CFF"/>
    <w:rsid w:val="0047639E"/>
    <w:rsid w:val="00480358"/>
    <w:rsid w:val="004853ED"/>
    <w:rsid w:val="00491889"/>
    <w:rsid w:val="004A7A2E"/>
    <w:rsid w:val="004B0F19"/>
    <w:rsid w:val="004B1831"/>
    <w:rsid w:val="004B20A1"/>
    <w:rsid w:val="004C0660"/>
    <w:rsid w:val="004C69BC"/>
    <w:rsid w:val="004D4AEF"/>
    <w:rsid w:val="004D55C0"/>
    <w:rsid w:val="004E6D3B"/>
    <w:rsid w:val="004F1A17"/>
    <w:rsid w:val="004F47DC"/>
    <w:rsid w:val="004F4A9C"/>
    <w:rsid w:val="005007F1"/>
    <w:rsid w:val="0050241F"/>
    <w:rsid w:val="00522AC4"/>
    <w:rsid w:val="00543291"/>
    <w:rsid w:val="00557FFA"/>
    <w:rsid w:val="005711BD"/>
    <w:rsid w:val="00583520"/>
    <w:rsid w:val="00584DF6"/>
    <w:rsid w:val="005859B6"/>
    <w:rsid w:val="00586C57"/>
    <w:rsid w:val="00586DE6"/>
    <w:rsid w:val="00597BFE"/>
    <w:rsid w:val="005A533C"/>
    <w:rsid w:val="005B2C49"/>
    <w:rsid w:val="005B7349"/>
    <w:rsid w:val="005C3A9A"/>
    <w:rsid w:val="005C67E0"/>
    <w:rsid w:val="005D38A5"/>
    <w:rsid w:val="005D4292"/>
    <w:rsid w:val="005D55FE"/>
    <w:rsid w:val="005D639E"/>
    <w:rsid w:val="005E63ED"/>
    <w:rsid w:val="005F34F1"/>
    <w:rsid w:val="005F5BC8"/>
    <w:rsid w:val="005F606F"/>
    <w:rsid w:val="005F7047"/>
    <w:rsid w:val="006027ED"/>
    <w:rsid w:val="00604ABA"/>
    <w:rsid w:val="00611B97"/>
    <w:rsid w:val="00620A04"/>
    <w:rsid w:val="00650A76"/>
    <w:rsid w:val="00653626"/>
    <w:rsid w:val="006718D7"/>
    <w:rsid w:val="00674EFF"/>
    <w:rsid w:val="006823EC"/>
    <w:rsid w:val="00684A6B"/>
    <w:rsid w:val="00686282"/>
    <w:rsid w:val="00694640"/>
    <w:rsid w:val="006A4BA7"/>
    <w:rsid w:val="006A7238"/>
    <w:rsid w:val="006B55C1"/>
    <w:rsid w:val="006C703D"/>
    <w:rsid w:val="006D3CE7"/>
    <w:rsid w:val="006E7CF0"/>
    <w:rsid w:val="006F7E78"/>
    <w:rsid w:val="007035F4"/>
    <w:rsid w:val="0071048F"/>
    <w:rsid w:val="00712510"/>
    <w:rsid w:val="00712A8F"/>
    <w:rsid w:val="007163F2"/>
    <w:rsid w:val="00717FCD"/>
    <w:rsid w:val="0072042A"/>
    <w:rsid w:val="00721E50"/>
    <w:rsid w:val="00724F16"/>
    <w:rsid w:val="00732672"/>
    <w:rsid w:val="007339F7"/>
    <w:rsid w:val="00740BD2"/>
    <w:rsid w:val="0074194A"/>
    <w:rsid w:val="0076209C"/>
    <w:rsid w:val="00781773"/>
    <w:rsid w:val="00781AD4"/>
    <w:rsid w:val="00784BDD"/>
    <w:rsid w:val="00786BBB"/>
    <w:rsid w:val="007A5D94"/>
    <w:rsid w:val="007A7997"/>
    <w:rsid w:val="007B3E42"/>
    <w:rsid w:val="007C0699"/>
    <w:rsid w:val="007C314B"/>
    <w:rsid w:val="007C4AA9"/>
    <w:rsid w:val="007D6C98"/>
    <w:rsid w:val="007E17B2"/>
    <w:rsid w:val="007E39D8"/>
    <w:rsid w:val="007F0164"/>
    <w:rsid w:val="00802B6D"/>
    <w:rsid w:val="008044AC"/>
    <w:rsid w:val="00805EFA"/>
    <w:rsid w:val="00806A87"/>
    <w:rsid w:val="00813D9D"/>
    <w:rsid w:val="008141F8"/>
    <w:rsid w:val="0081507C"/>
    <w:rsid w:val="008158D7"/>
    <w:rsid w:val="00832BB3"/>
    <w:rsid w:val="00845186"/>
    <w:rsid w:val="00850579"/>
    <w:rsid w:val="00854B12"/>
    <w:rsid w:val="00861DBD"/>
    <w:rsid w:val="00873190"/>
    <w:rsid w:val="0087484F"/>
    <w:rsid w:val="00874C3D"/>
    <w:rsid w:val="008752DA"/>
    <w:rsid w:val="00883695"/>
    <w:rsid w:val="008A0C93"/>
    <w:rsid w:val="008A71B4"/>
    <w:rsid w:val="008B2970"/>
    <w:rsid w:val="008B501D"/>
    <w:rsid w:val="008B5445"/>
    <w:rsid w:val="008C1ECF"/>
    <w:rsid w:val="008C208C"/>
    <w:rsid w:val="008C2F41"/>
    <w:rsid w:val="008D14B5"/>
    <w:rsid w:val="008D1D32"/>
    <w:rsid w:val="008D70D4"/>
    <w:rsid w:val="008E1A09"/>
    <w:rsid w:val="009006A8"/>
    <w:rsid w:val="00905670"/>
    <w:rsid w:val="009067EA"/>
    <w:rsid w:val="00915149"/>
    <w:rsid w:val="00926B62"/>
    <w:rsid w:val="00927636"/>
    <w:rsid w:val="0093304C"/>
    <w:rsid w:val="009379A9"/>
    <w:rsid w:val="00944E53"/>
    <w:rsid w:val="009459B3"/>
    <w:rsid w:val="009525D0"/>
    <w:rsid w:val="00965B94"/>
    <w:rsid w:val="009712B2"/>
    <w:rsid w:val="00972F5E"/>
    <w:rsid w:val="009733A4"/>
    <w:rsid w:val="00977661"/>
    <w:rsid w:val="00981386"/>
    <w:rsid w:val="009817C6"/>
    <w:rsid w:val="00997EDB"/>
    <w:rsid w:val="009A4154"/>
    <w:rsid w:val="009A4EFA"/>
    <w:rsid w:val="009A7034"/>
    <w:rsid w:val="009B22F3"/>
    <w:rsid w:val="009B4A52"/>
    <w:rsid w:val="009B5FFC"/>
    <w:rsid w:val="009C1145"/>
    <w:rsid w:val="009C282B"/>
    <w:rsid w:val="009C5905"/>
    <w:rsid w:val="009C65D6"/>
    <w:rsid w:val="009C77C4"/>
    <w:rsid w:val="009D4DFB"/>
    <w:rsid w:val="009E0C2A"/>
    <w:rsid w:val="009F71D4"/>
    <w:rsid w:val="009F7FAF"/>
    <w:rsid w:val="00A0597D"/>
    <w:rsid w:val="00A17C16"/>
    <w:rsid w:val="00A23DF9"/>
    <w:rsid w:val="00A27F77"/>
    <w:rsid w:val="00A30B9E"/>
    <w:rsid w:val="00A33EBF"/>
    <w:rsid w:val="00A3665E"/>
    <w:rsid w:val="00A3697C"/>
    <w:rsid w:val="00A459BF"/>
    <w:rsid w:val="00A5748B"/>
    <w:rsid w:val="00A57CE2"/>
    <w:rsid w:val="00A67356"/>
    <w:rsid w:val="00A67C00"/>
    <w:rsid w:val="00A761F0"/>
    <w:rsid w:val="00A77799"/>
    <w:rsid w:val="00A84829"/>
    <w:rsid w:val="00A8622B"/>
    <w:rsid w:val="00A86346"/>
    <w:rsid w:val="00A92358"/>
    <w:rsid w:val="00A95184"/>
    <w:rsid w:val="00A95DD1"/>
    <w:rsid w:val="00AA4373"/>
    <w:rsid w:val="00AB43CE"/>
    <w:rsid w:val="00AC4755"/>
    <w:rsid w:val="00AD011E"/>
    <w:rsid w:val="00AE04C3"/>
    <w:rsid w:val="00AF3371"/>
    <w:rsid w:val="00B022FD"/>
    <w:rsid w:val="00B05F1D"/>
    <w:rsid w:val="00B11B87"/>
    <w:rsid w:val="00B142EC"/>
    <w:rsid w:val="00B240F5"/>
    <w:rsid w:val="00B27EF0"/>
    <w:rsid w:val="00B46A41"/>
    <w:rsid w:val="00B47243"/>
    <w:rsid w:val="00B52B1C"/>
    <w:rsid w:val="00B6214F"/>
    <w:rsid w:val="00B640CA"/>
    <w:rsid w:val="00B7405D"/>
    <w:rsid w:val="00B74141"/>
    <w:rsid w:val="00B76C69"/>
    <w:rsid w:val="00B76F33"/>
    <w:rsid w:val="00B83515"/>
    <w:rsid w:val="00B83745"/>
    <w:rsid w:val="00B85525"/>
    <w:rsid w:val="00B86F92"/>
    <w:rsid w:val="00B87485"/>
    <w:rsid w:val="00B912C2"/>
    <w:rsid w:val="00B9403D"/>
    <w:rsid w:val="00B94E22"/>
    <w:rsid w:val="00B95EFC"/>
    <w:rsid w:val="00BA0AC6"/>
    <w:rsid w:val="00BA18A3"/>
    <w:rsid w:val="00BC6046"/>
    <w:rsid w:val="00BD3B9D"/>
    <w:rsid w:val="00BD6427"/>
    <w:rsid w:val="00BE0C4B"/>
    <w:rsid w:val="00BE3363"/>
    <w:rsid w:val="00BE73F2"/>
    <w:rsid w:val="00BE7B66"/>
    <w:rsid w:val="00BF293B"/>
    <w:rsid w:val="00BF6FC1"/>
    <w:rsid w:val="00C167B8"/>
    <w:rsid w:val="00C24BA8"/>
    <w:rsid w:val="00C35ECC"/>
    <w:rsid w:val="00C37CFF"/>
    <w:rsid w:val="00C4138D"/>
    <w:rsid w:val="00C45F74"/>
    <w:rsid w:val="00C5099A"/>
    <w:rsid w:val="00C701B4"/>
    <w:rsid w:val="00C733BD"/>
    <w:rsid w:val="00C74850"/>
    <w:rsid w:val="00C8042E"/>
    <w:rsid w:val="00CA204A"/>
    <w:rsid w:val="00CA2F80"/>
    <w:rsid w:val="00CA5398"/>
    <w:rsid w:val="00CA5B6F"/>
    <w:rsid w:val="00CC6AB3"/>
    <w:rsid w:val="00CD0BD0"/>
    <w:rsid w:val="00CD3E5E"/>
    <w:rsid w:val="00CE207E"/>
    <w:rsid w:val="00CE3C40"/>
    <w:rsid w:val="00CE5235"/>
    <w:rsid w:val="00CF3F45"/>
    <w:rsid w:val="00CF616F"/>
    <w:rsid w:val="00D01120"/>
    <w:rsid w:val="00D101C4"/>
    <w:rsid w:val="00D138B4"/>
    <w:rsid w:val="00D1442E"/>
    <w:rsid w:val="00D228D0"/>
    <w:rsid w:val="00D44001"/>
    <w:rsid w:val="00D456AF"/>
    <w:rsid w:val="00D50566"/>
    <w:rsid w:val="00D5209A"/>
    <w:rsid w:val="00D56013"/>
    <w:rsid w:val="00D60434"/>
    <w:rsid w:val="00D62DE2"/>
    <w:rsid w:val="00D73CC4"/>
    <w:rsid w:val="00D80DCC"/>
    <w:rsid w:val="00D85D0B"/>
    <w:rsid w:val="00D87613"/>
    <w:rsid w:val="00D92AB8"/>
    <w:rsid w:val="00D96D88"/>
    <w:rsid w:val="00D974A3"/>
    <w:rsid w:val="00DA3C1B"/>
    <w:rsid w:val="00DA52D3"/>
    <w:rsid w:val="00DA712D"/>
    <w:rsid w:val="00DB04D7"/>
    <w:rsid w:val="00DC0EC0"/>
    <w:rsid w:val="00DC2E52"/>
    <w:rsid w:val="00DC3EEA"/>
    <w:rsid w:val="00DC7917"/>
    <w:rsid w:val="00DD2F41"/>
    <w:rsid w:val="00DD54A4"/>
    <w:rsid w:val="00DE1BD2"/>
    <w:rsid w:val="00DF2EC2"/>
    <w:rsid w:val="00E020BD"/>
    <w:rsid w:val="00E17B77"/>
    <w:rsid w:val="00E2178D"/>
    <w:rsid w:val="00E277A8"/>
    <w:rsid w:val="00E46C49"/>
    <w:rsid w:val="00E54D67"/>
    <w:rsid w:val="00E56703"/>
    <w:rsid w:val="00E62310"/>
    <w:rsid w:val="00E62947"/>
    <w:rsid w:val="00E6606E"/>
    <w:rsid w:val="00E74001"/>
    <w:rsid w:val="00E763E2"/>
    <w:rsid w:val="00E823E9"/>
    <w:rsid w:val="00E83722"/>
    <w:rsid w:val="00E84B26"/>
    <w:rsid w:val="00E87351"/>
    <w:rsid w:val="00E93DC0"/>
    <w:rsid w:val="00E956A5"/>
    <w:rsid w:val="00E95D7C"/>
    <w:rsid w:val="00EA000F"/>
    <w:rsid w:val="00EA398D"/>
    <w:rsid w:val="00EB1244"/>
    <w:rsid w:val="00EB12D5"/>
    <w:rsid w:val="00EB6F57"/>
    <w:rsid w:val="00EC1C99"/>
    <w:rsid w:val="00EC63B9"/>
    <w:rsid w:val="00ED10E9"/>
    <w:rsid w:val="00ED471F"/>
    <w:rsid w:val="00EE2A34"/>
    <w:rsid w:val="00EF1023"/>
    <w:rsid w:val="00EF3988"/>
    <w:rsid w:val="00EF3996"/>
    <w:rsid w:val="00EF4AD3"/>
    <w:rsid w:val="00EF62A8"/>
    <w:rsid w:val="00F015AD"/>
    <w:rsid w:val="00F0201D"/>
    <w:rsid w:val="00F04613"/>
    <w:rsid w:val="00F07EE8"/>
    <w:rsid w:val="00F135F5"/>
    <w:rsid w:val="00F138A0"/>
    <w:rsid w:val="00F24836"/>
    <w:rsid w:val="00F26109"/>
    <w:rsid w:val="00F333B3"/>
    <w:rsid w:val="00F36633"/>
    <w:rsid w:val="00F419E1"/>
    <w:rsid w:val="00F4571D"/>
    <w:rsid w:val="00F50BF0"/>
    <w:rsid w:val="00F539AC"/>
    <w:rsid w:val="00F55B8F"/>
    <w:rsid w:val="00F562AD"/>
    <w:rsid w:val="00F625C1"/>
    <w:rsid w:val="00F64C97"/>
    <w:rsid w:val="00F74778"/>
    <w:rsid w:val="00F90205"/>
    <w:rsid w:val="00F947C7"/>
    <w:rsid w:val="00FB1110"/>
    <w:rsid w:val="00FC1BEC"/>
    <w:rsid w:val="00FC2F86"/>
    <w:rsid w:val="00FC56B1"/>
    <w:rsid w:val="00FC731B"/>
    <w:rsid w:val="00FC7EB5"/>
    <w:rsid w:val="00FD2C2F"/>
    <w:rsid w:val="00FD3F18"/>
    <w:rsid w:val="00FD5C41"/>
    <w:rsid w:val="00FF0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27504F"/>
  <w15:docId w15:val="{AFF24A3E-0270-4522-B533-84A19745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2D3"/>
    <w:pPr>
      <w:widowControl w:val="0"/>
      <w:spacing w:before="100" w:after="100"/>
    </w:pPr>
    <w:rPr>
      <w:snapToGrid w:val="0"/>
      <w:sz w:val="24"/>
      <w:lang w:val="fr-FR" w:eastAsia="fr-FR" w:bidi="fr-FR"/>
    </w:rPr>
  </w:style>
  <w:style w:type="paragraph" w:styleId="Titre1">
    <w:name w:val="heading 1"/>
    <w:basedOn w:val="Normal"/>
    <w:next w:val="Normal"/>
    <w:link w:val="Titre1Car"/>
    <w:qFormat/>
    <w:rsid w:val="001E23AC"/>
    <w:pPr>
      <w:keepNext/>
      <w:widowControl/>
      <w:pBdr>
        <w:top w:val="single" w:sz="4" w:space="1" w:color="auto"/>
        <w:left w:val="single" w:sz="4" w:space="4" w:color="auto"/>
        <w:bottom w:val="single" w:sz="4" w:space="1" w:color="auto"/>
        <w:right w:val="single" w:sz="4" w:space="4" w:color="auto"/>
      </w:pBdr>
      <w:spacing w:before="120" w:after="120"/>
      <w:jc w:val="center"/>
      <w:outlineLvl w:val="0"/>
    </w:pPr>
    <w:rPr>
      <w:rFonts w:ascii="Arial" w:hAnsi="Arial"/>
      <w:b/>
      <w:caps/>
      <w:snapToGrid/>
      <w:sz w:val="40"/>
      <w:lang w:eastAsia="en-GB"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initionTerm">
    <w:name w:val="Definition Term"/>
    <w:basedOn w:val="Normal"/>
    <w:next w:val="DefinitionList"/>
    <w:rsid w:val="005D55FE"/>
    <w:pPr>
      <w:spacing w:before="0" w:after="0"/>
    </w:pPr>
  </w:style>
  <w:style w:type="paragraph" w:customStyle="1" w:styleId="DefinitionList">
    <w:name w:val="Definition List"/>
    <w:basedOn w:val="Normal"/>
    <w:next w:val="DefinitionTerm"/>
    <w:rsid w:val="005D55FE"/>
    <w:pPr>
      <w:spacing w:before="0" w:after="0"/>
      <w:ind w:left="360"/>
    </w:pPr>
  </w:style>
  <w:style w:type="character" w:customStyle="1" w:styleId="Definition">
    <w:name w:val="Definition"/>
    <w:rsid w:val="005D55FE"/>
    <w:rPr>
      <w:i/>
    </w:rPr>
  </w:style>
  <w:style w:type="paragraph" w:customStyle="1" w:styleId="H1">
    <w:name w:val="H1"/>
    <w:basedOn w:val="Normal"/>
    <w:next w:val="Normal"/>
    <w:rsid w:val="005D55FE"/>
    <w:pPr>
      <w:keepNext/>
      <w:outlineLvl w:val="1"/>
    </w:pPr>
    <w:rPr>
      <w:b/>
      <w:kern w:val="36"/>
      <w:sz w:val="48"/>
    </w:rPr>
  </w:style>
  <w:style w:type="paragraph" w:customStyle="1" w:styleId="H2">
    <w:name w:val="H2"/>
    <w:basedOn w:val="Normal"/>
    <w:next w:val="Normal"/>
    <w:rsid w:val="005D55FE"/>
    <w:pPr>
      <w:keepNext/>
      <w:outlineLvl w:val="2"/>
    </w:pPr>
    <w:rPr>
      <w:b/>
      <w:sz w:val="36"/>
    </w:rPr>
  </w:style>
  <w:style w:type="paragraph" w:customStyle="1" w:styleId="H3">
    <w:name w:val="H3"/>
    <w:basedOn w:val="Normal"/>
    <w:next w:val="Normal"/>
    <w:rsid w:val="005D55FE"/>
    <w:pPr>
      <w:keepNext/>
      <w:outlineLvl w:val="3"/>
    </w:pPr>
    <w:rPr>
      <w:b/>
      <w:sz w:val="28"/>
    </w:rPr>
  </w:style>
  <w:style w:type="paragraph" w:customStyle="1" w:styleId="H4">
    <w:name w:val="H4"/>
    <w:basedOn w:val="Normal"/>
    <w:next w:val="Normal"/>
    <w:rsid w:val="005D55FE"/>
    <w:pPr>
      <w:keepNext/>
      <w:outlineLvl w:val="4"/>
    </w:pPr>
    <w:rPr>
      <w:b/>
    </w:rPr>
  </w:style>
  <w:style w:type="paragraph" w:customStyle="1" w:styleId="H5">
    <w:name w:val="H5"/>
    <w:basedOn w:val="Normal"/>
    <w:next w:val="Normal"/>
    <w:rsid w:val="005D55FE"/>
    <w:pPr>
      <w:keepNext/>
      <w:outlineLvl w:val="5"/>
    </w:pPr>
    <w:rPr>
      <w:b/>
      <w:sz w:val="20"/>
    </w:rPr>
  </w:style>
  <w:style w:type="paragraph" w:customStyle="1" w:styleId="H6">
    <w:name w:val="H6"/>
    <w:basedOn w:val="Normal"/>
    <w:next w:val="Normal"/>
    <w:rsid w:val="005D55FE"/>
    <w:pPr>
      <w:keepNext/>
      <w:outlineLvl w:val="6"/>
    </w:pPr>
    <w:rPr>
      <w:b/>
      <w:sz w:val="16"/>
    </w:rPr>
  </w:style>
  <w:style w:type="paragraph" w:customStyle="1" w:styleId="Address">
    <w:name w:val="Address"/>
    <w:basedOn w:val="Normal"/>
    <w:next w:val="Normal"/>
    <w:rsid w:val="005D55FE"/>
    <w:pPr>
      <w:spacing w:before="0" w:after="0"/>
    </w:pPr>
    <w:rPr>
      <w:i/>
    </w:rPr>
  </w:style>
  <w:style w:type="paragraph" w:customStyle="1" w:styleId="Blockquote">
    <w:name w:val="Blockquote"/>
    <w:basedOn w:val="Normal"/>
    <w:rsid w:val="005D55FE"/>
    <w:pPr>
      <w:ind w:left="360" w:right="360"/>
    </w:pPr>
  </w:style>
  <w:style w:type="character" w:customStyle="1" w:styleId="CITE">
    <w:name w:val="CITE"/>
    <w:rsid w:val="005D55FE"/>
    <w:rPr>
      <w:i/>
    </w:rPr>
  </w:style>
  <w:style w:type="character" w:customStyle="1" w:styleId="CODE">
    <w:name w:val="CODE"/>
    <w:rsid w:val="005D55FE"/>
    <w:rPr>
      <w:rFonts w:ascii="Courier New" w:hAnsi="Courier New"/>
      <w:sz w:val="20"/>
    </w:rPr>
  </w:style>
  <w:style w:type="character" w:styleId="Accentuation">
    <w:name w:val="Emphasis"/>
    <w:qFormat/>
    <w:rsid w:val="005D55FE"/>
    <w:rPr>
      <w:i/>
    </w:rPr>
  </w:style>
  <w:style w:type="character" w:styleId="Lienhypertexte">
    <w:name w:val="Hyperlink"/>
    <w:rsid w:val="005D55FE"/>
    <w:rPr>
      <w:color w:val="0000FF"/>
      <w:u w:val="single"/>
    </w:rPr>
  </w:style>
  <w:style w:type="character" w:styleId="Lienhypertextesuivivisit">
    <w:name w:val="FollowedHyperlink"/>
    <w:rsid w:val="005D55FE"/>
    <w:rPr>
      <w:color w:val="800080"/>
      <w:u w:val="single"/>
    </w:rPr>
  </w:style>
  <w:style w:type="character" w:customStyle="1" w:styleId="Keyboard">
    <w:name w:val="Keyboard"/>
    <w:rsid w:val="005D55FE"/>
    <w:rPr>
      <w:rFonts w:ascii="Courier New" w:hAnsi="Courier New"/>
      <w:b/>
      <w:sz w:val="20"/>
    </w:rPr>
  </w:style>
  <w:style w:type="paragraph" w:customStyle="1" w:styleId="Preformatted">
    <w:name w:val="Preformatted"/>
    <w:basedOn w:val="Normal"/>
    <w:rsid w:val="005D55FE"/>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asduformulaire">
    <w:name w:val="HTML Bottom of Form"/>
    <w:next w:val="Normal"/>
    <w:hidden/>
    <w:rsid w:val="005D55FE"/>
    <w:pPr>
      <w:widowControl w:val="0"/>
      <w:pBdr>
        <w:top w:val="double" w:sz="2" w:space="0" w:color="000000"/>
      </w:pBdr>
      <w:jc w:val="center"/>
    </w:pPr>
    <w:rPr>
      <w:rFonts w:ascii="Arial" w:hAnsi="Arial"/>
      <w:snapToGrid w:val="0"/>
      <w:vanish/>
      <w:sz w:val="16"/>
      <w:lang w:val="fr-FR" w:eastAsia="fr-FR" w:bidi="fr-FR"/>
    </w:rPr>
  </w:style>
  <w:style w:type="paragraph" w:styleId="z-Hautduformulaire">
    <w:name w:val="HTML Top of Form"/>
    <w:next w:val="Normal"/>
    <w:hidden/>
    <w:rsid w:val="005D55FE"/>
    <w:pPr>
      <w:widowControl w:val="0"/>
      <w:pBdr>
        <w:bottom w:val="double" w:sz="2" w:space="0" w:color="000000"/>
      </w:pBdr>
      <w:jc w:val="center"/>
    </w:pPr>
    <w:rPr>
      <w:rFonts w:ascii="Arial" w:hAnsi="Arial"/>
      <w:snapToGrid w:val="0"/>
      <w:vanish/>
      <w:sz w:val="16"/>
      <w:lang w:val="fr-FR" w:eastAsia="fr-FR" w:bidi="fr-FR"/>
    </w:rPr>
  </w:style>
  <w:style w:type="character" w:customStyle="1" w:styleId="Sample">
    <w:name w:val="Sample"/>
    <w:rsid w:val="005D55FE"/>
    <w:rPr>
      <w:rFonts w:ascii="Courier New" w:hAnsi="Courier New"/>
    </w:rPr>
  </w:style>
  <w:style w:type="character" w:styleId="lev">
    <w:name w:val="Strong"/>
    <w:qFormat/>
    <w:rsid w:val="005D55FE"/>
    <w:rPr>
      <w:b/>
    </w:rPr>
  </w:style>
  <w:style w:type="character" w:customStyle="1" w:styleId="Typewriter">
    <w:name w:val="Typewriter"/>
    <w:rsid w:val="005D55FE"/>
    <w:rPr>
      <w:rFonts w:ascii="Courier New" w:hAnsi="Courier New"/>
      <w:sz w:val="20"/>
    </w:rPr>
  </w:style>
  <w:style w:type="character" w:customStyle="1" w:styleId="Variable">
    <w:name w:val="Variable"/>
    <w:rsid w:val="005D55FE"/>
    <w:rPr>
      <w:i/>
    </w:rPr>
  </w:style>
  <w:style w:type="character" w:customStyle="1" w:styleId="HTMLMarkup">
    <w:name w:val="HTML Markup"/>
    <w:rsid w:val="005D55FE"/>
    <w:rPr>
      <w:vanish/>
      <w:color w:val="FF0000"/>
    </w:rPr>
  </w:style>
  <w:style w:type="character" w:customStyle="1" w:styleId="Comment">
    <w:name w:val="Comment"/>
    <w:rsid w:val="005D55FE"/>
    <w:rPr>
      <w:vanish/>
    </w:rPr>
  </w:style>
  <w:style w:type="paragraph" w:styleId="Explorateurdedocuments">
    <w:name w:val="Document Map"/>
    <w:basedOn w:val="Normal"/>
    <w:semiHidden/>
    <w:rsid w:val="005D55FE"/>
    <w:pPr>
      <w:shd w:val="clear" w:color="auto" w:fill="000080"/>
    </w:pPr>
  </w:style>
  <w:style w:type="paragraph" w:styleId="En-tte">
    <w:name w:val="header"/>
    <w:basedOn w:val="Normal"/>
    <w:rsid w:val="007C4AA9"/>
    <w:pPr>
      <w:tabs>
        <w:tab w:val="center" w:pos="4536"/>
        <w:tab w:val="right" w:pos="9072"/>
      </w:tabs>
    </w:pPr>
  </w:style>
  <w:style w:type="paragraph" w:styleId="Pieddepage">
    <w:name w:val="footer"/>
    <w:basedOn w:val="Normal"/>
    <w:rsid w:val="007C4AA9"/>
    <w:pPr>
      <w:tabs>
        <w:tab w:val="center" w:pos="4536"/>
        <w:tab w:val="right" w:pos="9072"/>
      </w:tabs>
    </w:pPr>
  </w:style>
  <w:style w:type="paragraph" w:customStyle="1" w:styleId="PRAGHeading2">
    <w:name w:val="PRAG Heading 2"/>
    <w:basedOn w:val="Normal"/>
    <w:rsid w:val="00805EFA"/>
    <w:pPr>
      <w:numPr>
        <w:numId w:val="31"/>
      </w:numPr>
    </w:pPr>
  </w:style>
  <w:style w:type="character" w:styleId="Numrodepage">
    <w:name w:val="page number"/>
    <w:basedOn w:val="Policepardfaut"/>
    <w:rsid w:val="00805EFA"/>
  </w:style>
  <w:style w:type="character" w:styleId="Marquedecommentaire">
    <w:name w:val="annotation reference"/>
    <w:uiPriority w:val="99"/>
    <w:semiHidden/>
    <w:unhideWhenUsed/>
    <w:rsid w:val="005D55FE"/>
    <w:rPr>
      <w:sz w:val="16"/>
      <w:szCs w:val="16"/>
    </w:rPr>
  </w:style>
  <w:style w:type="paragraph" w:styleId="Commentaire">
    <w:name w:val="annotation text"/>
    <w:basedOn w:val="Normal"/>
    <w:link w:val="CommentaireCar"/>
    <w:uiPriority w:val="99"/>
    <w:semiHidden/>
    <w:unhideWhenUsed/>
    <w:rsid w:val="005D55FE"/>
    <w:rPr>
      <w:sz w:val="20"/>
    </w:rPr>
  </w:style>
  <w:style w:type="paragraph" w:styleId="Objetducommentaire">
    <w:name w:val="annotation subject"/>
    <w:basedOn w:val="Commentaire"/>
    <w:next w:val="Commentaire"/>
    <w:semiHidden/>
    <w:rsid w:val="00BD3B9D"/>
    <w:rPr>
      <w:b/>
      <w:bCs/>
    </w:rPr>
  </w:style>
  <w:style w:type="paragraph" w:styleId="Textedebulles">
    <w:name w:val="Balloon Text"/>
    <w:basedOn w:val="Normal"/>
    <w:semiHidden/>
    <w:rsid w:val="00BD3B9D"/>
    <w:rPr>
      <w:rFonts w:ascii="Tahoma" w:hAnsi="Tahoma" w:cs="Tahoma"/>
      <w:sz w:val="16"/>
      <w:szCs w:val="16"/>
    </w:rPr>
  </w:style>
  <w:style w:type="paragraph" w:styleId="Notedebasdepage">
    <w:name w:val="footnote text"/>
    <w:basedOn w:val="Normal"/>
    <w:link w:val="NotedebasdepageCar"/>
    <w:autoRedefine/>
    <w:rsid w:val="00DA52D3"/>
    <w:pPr>
      <w:spacing w:before="0" w:after="120"/>
      <w:ind w:left="142" w:hanging="142"/>
    </w:pPr>
    <w:rPr>
      <w:sz w:val="20"/>
      <w:lang w:bidi="ar-SA"/>
    </w:rPr>
  </w:style>
  <w:style w:type="character" w:customStyle="1" w:styleId="NotedebasdepageCar">
    <w:name w:val="Note de bas de page Car"/>
    <w:link w:val="Notedebasdepage"/>
    <w:rsid w:val="00DA52D3"/>
    <w:rPr>
      <w:snapToGrid w:val="0"/>
      <w:lang w:val="fr-FR" w:eastAsia="fr-FR"/>
    </w:rPr>
  </w:style>
  <w:style w:type="character" w:styleId="Appelnotedebasdep">
    <w:name w:val="footnote reference"/>
    <w:rsid w:val="00A95184"/>
    <w:rPr>
      <w:vertAlign w:val="superscript"/>
    </w:rPr>
  </w:style>
  <w:style w:type="paragraph" w:styleId="Rvision">
    <w:name w:val="Revision"/>
    <w:hidden/>
    <w:uiPriority w:val="99"/>
    <w:semiHidden/>
    <w:rsid w:val="000A25C1"/>
    <w:rPr>
      <w:snapToGrid w:val="0"/>
      <w:sz w:val="24"/>
      <w:lang w:val="fr-FR" w:eastAsia="fr-FR" w:bidi="fr-FR"/>
    </w:rPr>
  </w:style>
  <w:style w:type="character" w:customStyle="1" w:styleId="Titre1Car">
    <w:name w:val="Titre 1 Car"/>
    <w:link w:val="Titre1"/>
    <w:rsid w:val="001E23AC"/>
    <w:rPr>
      <w:rFonts w:ascii="Arial" w:hAnsi="Arial"/>
      <w:b/>
      <w:caps/>
      <w:sz w:val="40"/>
      <w:lang w:eastAsia="en-GB" w:bidi="ar-SA"/>
    </w:rPr>
  </w:style>
  <w:style w:type="paragraph" w:styleId="Paragraphedeliste">
    <w:name w:val="List Paragraph"/>
    <w:basedOn w:val="Normal"/>
    <w:uiPriority w:val="34"/>
    <w:qFormat/>
    <w:rsid w:val="00E763E2"/>
    <w:pPr>
      <w:widowControl/>
      <w:spacing w:before="0" w:after="160" w:line="256" w:lineRule="auto"/>
      <w:ind w:left="720"/>
      <w:contextualSpacing/>
    </w:pPr>
    <w:rPr>
      <w:rFonts w:ascii="Calibri" w:eastAsia="Calibri" w:hAnsi="Calibri"/>
      <w:snapToGrid/>
      <w:sz w:val="22"/>
      <w:szCs w:val="22"/>
      <w:lang w:val="en-US" w:eastAsia="en-US" w:bidi="ar-SA"/>
    </w:rPr>
  </w:style>
  <w:style w:type="character" w:customStyle="1" w:styleId="CommentaireCar">
    <w:name w:val="Commentaire Car"/>
    <w:link w:val="Commentaire"/>
    <w:uiPriority w:val="99"/>
    <w:semiHidden/>
    <w:rsid w:val="008A0C93"/>
    <w:rPr>
      <w:snapToGrid w:val="0"/>
      <w:lang w:val="fr-FR" w:eastAsia="fr-FR" w:bidi="fr-FR"/>
    </w:rPr>
  </w:style>
  <w:style w:type="paragraph" w:styleId="NormalWeb">
    <w:name w:val="Normal (Web)"/>
    <w:basedOn w:val="Normal"/>
    <w:uiPriority w:val="99"/>
    <w:semiHidden/>
    <w:unhideWhenUsed/>
    <w:rsid w:val="00D01120"/>
    <w:pPr>
      <w:widowControl/>
      <w:spacing w:beforeAutospacing="1" w:afterAutospacing="1"/>
    </w:pPr>
    <w:rPr>
      <w:snapToGrid/>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69793">
      <w:bodyDiv w:val="1"/>
      <w:marLeft w:val="0"/>
      <w:marRight w:val="0"/>
      <w:marTop w:val="0"/>
      <w:marBottom w:val="0"/>
      <w:divBdr>
        <w:top w:val="none" w:sz="0" w:space="0" w:color="auto"/>
        <w:left w:val="none" w:sz="0" w:space="0" w:color="auto"/>
        <w:bottom w:val="none" w:sz="0" w:space="0" w:color="auto"/>
        <w:right w:val="none" w:sz="0" w:space="0" w:color="auto"/>
      </w:divBdr>
      <w:divsChild>
        <w:div w:id="1149859645">
          <w:marLeft w:val="0"/>
          <w:marRight w:val="0"/>
          <w:marTop w:val="0"/>
          <w:marBottom w:val="0"/>
          <w:divBdr>
            <w:top w:val="none" w:sz="0" w:space="0" w:color="auto"/>
            <w:left w:val="none" w:sz="0" w:space="0" w:color="auto"/>
            <w:bottom w:val="none" w:sz="0" w:space="0" w:color="auto"/>
            <w:right w:val="none" w:sz="0" w:space="0" w:color="auto"/>
          </w:divBdr>
        </w:div>
        <w:div w:id="369887710">
          <w:marLeft w:val="0"/>
          <w:marRight w:val="0"/>
          <w:marTop w:val="0"/>
          <w:marBottom w:val="0"/>
          <w:divBdr>
            <w:top w:val="none" w:sz="0" w:space="0" w:color="auto"/>
            <w:left w:val="none" w:sz="0" w:space="0" w:color="auto"/>
            <w:bottom w:val="none" w:sz="0" w:space="0" w:color="auto"/>
            <w:right w:val="none" w:sz="0" w:space="0" w:color="auto"/>
          </w:divBdr>
        </w:div>
      </w:divsChild>
    </w:div>
    <w:div w:id="1411081406">
      <w:bodyDiv w:val="1"/>
      <w:marLeft w:val="0"/>
      <w:marRight w:val="0"/>
      <w:marTop w:val="0"/>
      <w:marBottom w:val="0"/>
      <w:divBdr>
        <w:top w:val="none" w:sz="0" w:space="0" w:color="auto"/>
        <w:left w:val="none" w:sz="0" w:space="0" w:color="auto"/>
        <w:bottom w:val="none" w:sz="0" w:space="0" w:color="auto"/>
        <w:right w:val="none" w:sz="0" w:space="0" w:color="auto"/>
      </w:divBdr>
    </w:div>
    <w:div w:id="1836720941">
      <w:bodyDiv w:val="1"/>
      <w:marLeft w:val="0"/>
      <w:marRight w:val="0"/>
      <w:marTop w:val="0"/>
      <w:marBottom w:val="0"/>
      <w:divBdr>
        <w:top w:val="none" w:sz="0" w:space="0" w:color="auto"/>
        <w:left w:val="none" w:sz="0" w:space="0" w:color="auto"/>
        <w:bottom w:val="none" w:sz="0" w:space="0" w:color="auto"/>
        <w:right w:val="none" w:sz="0" w:space="0" w:color="auto"/>
      </w:divBdr>
    </w:div>
    <w:div w:id="19068396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22D35-F4C8-4BE0-87BA-2131A3B8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1750</Words>
  <Characters>9626</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proc_notice_en</vt:lpstr>
      <vt:lpstr>proc_notice_en</vt:lpstr>
    </vt:vector>
  </TitlesOfParts>
  <Company>European Commission</Company>
  <LinksUpToDate>false</LinksUpToDate>
  <CharactersWithSpaces>11354</CharactersWithSpaces>
  <SharedDoc>false</SharedDoc>
  <HLinks>
    <vt:vector size="6" baseType="variant">
      <vt:variant>
        <vt:i4>4784206</vt:i4>
      </vt:variant>
      <vt:variant>
        <vt:i4>0</vt:i4>
      </vt:variant>
      <vt:variant>
        <vt:i4>0</vt:i4>
      </vt:variant>
      <vt:variant>
        <vt:i4>5</vt:i4>
      </vt:variant>
      <vt:variant>
        <vt:lpwstr>https://webgate.ec.europa.eu/europeaid/online-services/index.cfm?do=publi.welcome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subject/>
  <dc:creator>sabatmu</dc:creator>
  <cp:keywords/>
  <dc:description/>
  <cp:lastModifiedBy>Magdala Ganthier B-A</cp:lastModifiedBy>
  <cp:revision>3</cp:revision>
  <cp:lastPrinted>2006-01-25T10:58:00Z</cp:lastPrinted>
  <dcterms:created xsi:type="dcterms:W3CDTF">2022-05-16T13:37:00Z</dcterms:created>
  <dcterms:modified xsi:type="dcterms:W3CDTF">2022-05-16T13:40:00Z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1292383677</vt:i4>
  </property>
  <property fmtid="{D5CDD505-2E9C-101B-9397-08002B2CF9AE}" pid="4" name="Checked by">
    <vt:lpwstr>duboile</vt:lpwstr>
  </property>
  <property fmtid="{D5CDD505-2E9C-101B-9397-08002B2CF9AE}" pid="5" name="_PreviousAdHocReviewCycleID">
    <vt:i4>1394798330</vt:i4>
  </property>
  <property fmtid="{D5CDD505-2E9C-101B-9397-08002B2CF9AE}" pid="6" name="_ReviewingToolsShownOnce">
    <vt:lpwstr/>
  </property>
</Properties>
</file>