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ED" w:rsidRDefault="00FE71ED"/>
    <w:p w:rsidR="00FE71ED" w:rsidRDefault="00FE71ED" w:rsidP="00FE71ED">
      <w:pPr>
        <w:jc w:val="center"/>
      </w:pPr>
      <w:r>
        <w:rPr>
          <w:noProof/>
        </w:rPr>
        <w:drawing>
          <wp:inline distT="0" distB="0" distL="0" distR="0" wp14:anchorId="32BC2DE8" wp14:editId="7839DB8B">
            <wp:extent cx="939165" cy="682625"/>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165" cy="682625"/>
                    </a:xfrm>
                    <a:prstGeom prst="rect">
                      <a:avLst/>
                    </a:prstGeom>
                    <a:noFill/>
                  </pic:spPr>
                </pic:pic>
              </a:graphicData>
            </a:graphic>
          </wp:inline>
        </w:drawing>
      </w:r>
    </w:p>
    <w:p w:rsidR="00FE71ED" w:rsidRPr="00F17D8C" w:rsidRDefault="00FE71ED" w:rsidP="00FE71ED">
      <w:pPr>
        <w:pStyle w:val="Header"/>
        <w:jc w:val="center"/>
        <w:rPr>
          <w:b/>
          <w:sz w:val="32"/>
          <w:lang w:val="fr-FR"/>
        </w:rPr>
      </w:pPr>
      <w:r w:rsidRPr="00F17D8C">
        <w:rPr>
          <w:b/>
          <w:sz w:val="32"/>
          <w:lang w:val="fr-FR"/>
        </w:rPr>
        <w:t>MINISTERE DE LA SANTÉ PUBLIQUE ET DE LA POPULATION</w:t>
      </w:r>
    </w:p>
    <w:p w:rsidR="00FE71ED" w:rsidRDefault="00FE71ED" w:rsidP="00FE71ED">
      <w:pPr>
        <w:pStyle w:val="Header"/>
        <w:jc w:val="center"/>
        <w:rPr>
          <w:b/>
          <w:sz w:val="28"/>
          <w:lang w:val="fr-FR"/>
        </w:rPr>
      </w:pPr>
      <w:r w:rsidRPr="00F17D8C">
        <w:rPr>
          <w:b/>
          <w:sz w:val="28"/>
          <w:lang w:val="fr-FR"/>
        </w:rPr>
        <w:t>UNITÉ DE COORDINATION DES MALADIES INFECTUEUSES ET TRANSMISSIBLE</w:t>
      </w:r>
    </w:p>
    <w:p w:rsidR="00FE71ED" w:rsidRDefault="00FE71ED" w:rsidP="00FE71ED">
      <w:pPr>
        <w:pStyle w:val="Header"/>
        <w:jc w:val="center"/>
        <w:rPr>
          <w:b/>
          <w:sz w:val="28"/>
          <w:lang w:val="fr-FR"/>
        </w:rPr>
      </w:pPr>
      <w:r>
        <w:rPr>
          <w:b/>
          <w:sz w:val="28"/>
          <w:lang w:val="fr-FR"/>
        </w:rPr>
        <w:t>UCMIT/MSPP</w:t>
      </w:r>
    </w:p>
    <w:p w:rsidR="003F40C6" w:rsidRPr="00F55B06" w:rsidRDefault="003F40C6" w:rsidP="00FE71ED">
      <w:pPr>
        <w:pStyle w:val="Header"/>
        <w:jc w:val="center"/>
        <w:rPr>
          <w:b/>
          <w:sz w:val="28"/>
          <w:lang w:val="fr-FR"/>
        </w:rPr>
      </w:pPr>
      <w:r>
        <w:rPr>
          <w:b/>
          <w:sz w:val="28"/>
          <w:lang w:val="fr-FR"/>
        </w:rPr>
        <w:t xml:space="preserve">Recrutement d’un consultant : expert en entomologie </w:t>
      </w:r>
    </w:p>
    <w:p w:rsidR="00FE71ED" w:rsidRPr="00FE71ED" w:rsidRDefault="00FE71ED" w:rsidP="00FE71ED">
      <w:pPr>
        <w:spacing w:after="0"/>
        <w:jc w:val="center"/>
        <w:rPr>
          <w:rFonts w:ascii="Arial" w:hAnsi="Arial" w:cs="Arial"/>
          <w:b/>
          <w:bCs/>
          <w:lang w:val="fr-FR"/>
        </w:rPr>
      </w:pPr>
      <w:r w:rsidRPr="00FE71ED">
        <w:rPr>
          <w:rFonts w:ascii="Arial" w:hAnsi="Arial" w:cs="Arial"/>
          <w:b/>
          <w:bCs/>
          <w:lang w:val="fr-FR"/>
        </w:rPr>
        <w:t>____________________________________________________________________________</w:t>
      </w:r>
    </w:p>
    <w:p w:rsidR="001C742D" w:rsidRDefault="001C742D" w:rsidP="001C742D">
      <w:pPr>
        <w:jc w:val="both"/>
        <w:rPr>
          <w:rFonts w:cstheme="minorHAnsi"/>
          <w:bCs/>
          <w:sz w:val="24"/>
          <w:szCs w:val="24"/>
          <w:lang w:val="fr-FR"/>
        </w:rPr>
      </w:pPr>
      <w:r w:rsidRPr="001C742D">
        <w:rPr>
          <w:rFonts w:cstheme="minorHAnsi"/>
          <w:sz w:val="24"/>
          <w:szCs w:val="24"/>
          <w:lang w:val="fr-FR"/>
        </w:rPr>
        <w:t xml:space="preserve">L’UCMIT (Unité de Coordination des Maladies Infectieuses et Transmissibles), </w:t>
      </w:r>
      <w:r w:rsidR="00077659">
        <w:rPr>
          <w:rFonts w:cstheme="minorHAnsi"/>
          <w:sz w:val="24"/>
          <w:szCs w:val="24"/>
          <w:lang w:val="fr-FR"/>
        </w:rPr>
        <w:t xml:space="preserve">entité du Ministère de la Santé Publique et de la Population (MSPP) </w:t>
      </w:r>
      <w:bookmarkStart w:id="0" w:name="_GoBack"/>
      <w:bookmarkEnd w:id="0"/>
      <w:r w:rsidRPr="001C742D">
        <w:rPr>
          <w:rFonts w:cstheme="minorHAnsi"/>
          <w:sz w:val="24"/>
          <w:szCs w:val="24"/>
          <w:lang w:val="fr-FR"/>
        </w:rPr>
        <w:t>Cherche à recruter pour le compte du Programme National de Lutte contre la Malaria (PNCM) un Consultant en Ent</w:t>
      </w:r>
      <w:r w:rsidR="003F40C6">
        <w:rPr>
          <w:rFonts w:cstheme="minorHAnsi"/>
          <w:sz w:val="24"/>
          <w:szCs w:val="24"/>
          <w:lang w:val="fr-FR"/>
        </w:rPr>
        <w:t>omologie (Lutte Anti vectorielle</w:t>
      </w:r>
      <w:r w:rsidRPr="001C742D">
        <w:rPr>
          <w:rFonts w:cstheme="minorHAnsi"/>
          <w:sz w:val="24"/>
          <w:szCs w:val="24"/>
          <w:lang w:val="fr-FR"/>
        </w:rPr>
        <w:t>) pour une position qui sera basée dans l</w:t>
      </w:r>
      <w:r w:rsidR="003F40C6">
        <w:rPr>
          <w:rFonts w:cstheme="minorHAnsi"/>
          <w:sz w:val="24"/>
          <w:szCs w:val="24"/>
          <w:lang w:val="fr-FR"/>
        </w:rPr>
        <w:t xml:space="preserve">e Grand Sud </w:t>
      </w:r>
      <w:r w:rsidRPr="001C742D">
        <w:rPr>
          <w:rFonts w:cstheme="minorHAnsi"/>
          <w:sz w:val="24"/>
          <w:szCs w:val="24"/>
          <w:lang w:val="fr-FR"/>
        </w:rPr>
        <w:t>et Financé par le PNUD</w:t>
      </w:r>
      <w:r>
        <w:rPr>
          <w:rFonts w:cstheme="minorHAnsi"/>
          <w:sz w:val="24"/>
          <w:szCs w:val="24"/>
          <w:lang w:val="fr-FR"/>
        </w:rPr>
        <w:t xml:space="preserve"> (Programme des Nations Unis pour le Développement) via le projet du Fonds Mondial  « Vers l’Elimination de la Malaria en Haïti »</w:t>
      </w:r>
      <w:r w:rsidRPr="001C742D">
        <w:rPr>
          <w:rFonts w:cstheme="minorHAnsi"/>
          <w:sz w:val="24"/>
          <w:szCs w:val="24"/>
          <w:lang w:val="fr-FR"/>
        </w:rPr>
        <w:t>. L’essentiel du travail   à réaliser qui s’étendra sur une période de quatre mois  consistera à offrir une assistance technique pour la conduite d’une évaluation sur l’efficacité des traitements de gites larvaires en Haïti</w:t>
      </w:r>
      <w:r>
        <w:rPr>
          <w:rFonts w:cstheme="minorHAnsi"/>
          <w:sz w:val="24"/>
          <w:szCs w:val="24"/>
          <w:lang w:val="fr-FR"/>
        </w:rPr>
        <w:t>.</w:t>
      </w:r>
    </w:p>
    <w:p w:rsidR="00FE71ED" w:rsidRPr="001C742D" w:rsidRDefault="00FE71ED" w:rsidP="001C742D">
      <w:pPr>
        <w:jc w:val="both"/>
        <w:rPr>
          <w:rFonts w:cstheme="minorHAnsi"/>
          <w:bCs/>
          <w:sz w:val="24"/>
          <w:szCs w:val="24"/>
          <w:lang w:val="fr-FR"/>
        </w:rPr>
      </w:pPr>
      <w:r w:rsidRPr="003165C2">
        <w:rPr>
          <w:rFonts w:ascii="Arial" w:hAnsi="Arial" w:cs="Arial"/>
          <w:b/>
          <w:bCs/>
          <w:lang w:val="fr-FR"/>
        </w:rPr>
        <w:t>____________________________________________________________________________</w:t>
      </w:r>
    </w:p>
    <w:p w:rsidR="00100A45" w:rsidRPr="00E54806" w:rsidRDefault="00100A45" w:rsidP="00FE71ED">
      <w:pPr>
        <w:rPr>
          <w:rFonts w:ascii="Times New Roman" w:hAnsi="Times New Roman" w:cs="Times New Roman"/>
          <w:lang w:val="fr-FR"/>
        </w:rPr>
      </w:pPr>
    </w:p>
    <w:p w:rsidR="001858D4" w:rsidRDefault="001858D4" w:rsidP="00E54806">
      <w:pPr>
        <w:pStyle w:val="ListParagraph"/>
        <w:numPr>
          <w:ilvl w:val="0"/>
          <w:numId w:val="1"/>
        </w:numPr>
        <w:rPr>
          <w:rFonts w:cstheme="minorHAnsi"/>
          <w:b/>
          <w:sz w:val="24"/>
          <w:szCs w:val="24"/>
          <w:lang w:val="fr-FR"/>
        </w:rPr>
      </w:pPr>
      <w:r w:rsidRPr="00904004">
        <w:rPr>
          <w:rFonts w:cstheme="minorHAnsi"/>
          <w:b/>
          <w:sz w:val="24"/>
          <w:szCs w:val="24"/>
          <w:lang w:val="fr-FR"/>
        </w:rPr>
        <w:t>Contexte</w:t>
      </w:r>
      <w:r w:rsidR="00050E89" w:rsidRPr="00904004">
        <w:rPr>
          <w:rFonts w:cstheme="minorHAnsi"/>
          <w:b/>
          <w:sz w:val="24"/>
          <w:szCs w:val="24"/>
          <w:lang w:val="fr-FR"/>
        </w:rPr>
        <w:t xml:space="preserve"> et Justification</w:t>
      </w:r>
    </w:p>
    <w:p w:rsidR="00382D5F" w:rsidRPr="00DC2E6B" w:rsidRDefault="00382D5F" w:rsidP="00382D5F">
      <w:pPr>
        <w:autoSpaceDE w:val="0"/>
        <w:autoSpaceDN w:val="0"/>
        <w:jc w:val="both"/>
        <w:rPr>
          <w:rFonts w:cstheme="minorHAnsi"/>
          <w:sz w:val="24"/>
          <w:szCs w:val="24"/>
          <w:lang w:val="fr-FR"/>
        </w:rPr>
      </w:pPr>
      <w:r w:rsidRPr="00DC2E6B">
        <w:rPr>
          <w:rFonts w:cstheme="minorHAnsi"/>
          <w:sz w:val="24"/>
          <w:szCs w:val="24"/>
          <w:lang w:val="fr-FR"/>
        </w:rPr>
        <w:t xml:space="preserve">Le PNUD a été identifié comme le bénéficiaire principal intérimaire de la subvention Fonds Mondial pour le paludisme en Haïti, qui sera mise en œuvre du 1er janvier 2021 au 31 décembre 2023, avec l'objectif global de réduire la transmission locale du paludisme à 0, en confirmant 100 % de tous les cas de paludisme par TDR ou microscopie et en traitant correctement 100 % des cas positifs conformément aux protocoles nationaux. </w:t>
      </w:r>
    </w:p>
    <w:p w:rsidR="00382D5F" w:rsidRPr="00DC2E6B" w:rsidRDefault="00382D5F" w:rsidP="00382D5F">
      <w:pPr>
        <w:autoSpaceDE w:val="0"/>
        <w:autoSpaceDN w:val="0"/>
        <w:jc w:val="both"/>
        <w:rPr>
          <w:rFonts w:cstheme="minorHAnsi"/>
          <w:sz w:val="24"/>
          <w:szCs w:val="24"/>
          <w:lang w:val="fr-FR"/>
        </w:rPr>
      </w:pPr>
      <w:r w:rsidRPr="00DC2E6B">
        <w:rPr>
          <w:rFonts w:cstheme="minorHAnsi"/>
          <w:sz w:val="24"/>
          <w:szCs w:val="24"/>
          <w:lang w:val="fr-FR"/>
        </w:rPr>
        <w:t xml:space="preserve">Dans ce cadre, une des stratégies complémentaires est l’utilisation de larvicides pour la gestion des gites larvaires. Dans sa revue technique en 2020, le Fonds Mondial a recommandé de réduire le nombre de foyers ou le traitement des sources larvaires se pratiquent et de mener une étude d’efficacité afin d’améliorer l’impact des interventions de lutte entomologique.   </w:t>
      </w:r>
    </w:p>
    <w:p w:rsidR="00382D5F" w:rsidRPr="00DC2E6B" w:rsidRDefault="00382D5F" w:rsidP="00382D5F">
      <w:pPr>
        <w:autoSpaceDE w:val="0"/>
        <w:autoSpaceDN w:val="0"/>
        <w:jc w:val="both"/>
        <w:rPr>
          <w:rFonts w:cstheme="minorHAnsi"/>
          <w:sz w:val="24"/>
          <w:szCs w:val="24"/>
          <w:lang w:val="fr-FR"/>
        </w:rPr>
      </w:pPr>
      <w:r w:rsidRPr="00DC2E6B">
        <w:rPr>
          <w:rFonts w:cstheme="minorHAnsi"/>
          <w:sz w:val="24"/>
          <w:szCs w:val="24"/>
          <w:lang w:val="fr-FR"/>
        </w:rPr>
        <w:t xml:space="preserve">La gestion des sources larvaires (LSM) est la gestion des habitats aquatiques qui sont des habitats larvaires potentiels pour les moustiques, afin d'empêcher l'achèvement du développement des stades immatures. Contrairement aux MILD et aux PID, qui ciblent le moustique vecteur adulte, le LSM, en ciblant les stades aquatiques du moustique (les larves et les pupes), réduit l'abondance des vecteurs adultes. Si tous les sites de reproduction potentiels étaient éliminés ou traités, on pourrait s'attendre à ce que le LSM réduise le nombre de piqûres infectieuses par personne et par an, réduisant ainsi la transmission du paludisme. Dans des </w:t>
      </w:r>
      <w:r w:rsidRPr="00DC2E6B">
        <w:rPr>
          <w:rFonts w:cstheme="minorHAnsi"/>
          <w:sz w:val="24"/>
          <w:szCs w:val="24"/>
          <w:lang w:val="fr-FR"/>
        </w:rPr>
        <w:lastRenderedPageBreak/>
        <w:t xml:space="preserve">milieux bien définis où les sites de reproduction sont </w:t>
      </w:r>
      <w:r w:rsidRPr="00DC2E6B">
        <w:rPr>
          <w:rFonts w:cstheme="minorHAnsi"/>
          <w:i/>
          <w:iCs/>
          <w:sz w:val="24"/>
          <w:szCs w:val="24"/>
          <w:lang w:val="fr-FR"/>
        </w:rPr>
        <w:t>peu nombreux, fixes et trouvables</w:t>
      </w:r>
      <w:r w:rsidRPr="00DC2E6B">
        <w:rPr>
          <w:rFonts w:cstheme="minorHAnsi"/>
          <w:sz w:val="24"/>
          <w:szCs w:val="24"/>
          <w:lang w:val="fr-FR"/>
        </w:rPr>
        <w:t>, l'élimination des habitats larvaires peut être une solution rentable, a court comme à long terme.</w:t>
      </w:r>
    </w:p>
    <w:p w:rsidR="00382D5F" w:rsidRPr="00DC2E6B" w:rsidRDefault="00382D5F" w:rsidP="00382D5F">
      <w:pPr>
        <w:autoSpaceDE w:val="0"/>
        <w:autoSpaceDN w:val="0"/>
        <w:jc w:val="both"/>
        <w:rPr>
          <w:rFonts w:cstheme="minorHAnsi"/>
          <w:sz w:val="24"/>
          <w:szCs w:val="24"/>
          <w:lang w:val="fr-FR"/>
        </w:rPr>
      </w:pPr>
      <w:r w:rsidRPr="00DC2E6B">
        <w:rPr>
          <w:rFonts w:cstheme="minorHAnsi"/>
          <w:sz w:val="24"/>
          <w:szCs w:val="24"/>
          <w:lang w:val="fr-FR"/>
        </w:rPr>
        <w:t>Il existe quatre types de LSM :</w:t>
      </w:r>
    </w:p>
    <w:p w:rsidR="00382D5F" w:rsidRPr="00DC2E6B" w:rsidRDefault="00DC2E6B" w:rsidP="00382D5F">
      <w:pPr>
        <w:autoSpaceDE w:val="0"/>
        <w:autoSpaceDN w:val="0"/>
        <w:jc w:val="both"/>
        <w:rPr>
          <w:rFonts w:cstheme="minorHAnsi"/>
          <w:sz w:val="24"/>
          <w:szCs w:val="24"/>
          <w:lang w:val="fr-FR"/>
        </w:rPr>
      </w:pPr>
      <w:r w:rsidRPr="00DC2E6B">
        <w:rPr>
          <w:rFonts w:cstheme="minorHAnsi"/>
          <w:sz w:val="24"/>
          <w:szCs w:val="24"/>
          <w:lang w:val="fr-FR"/>
        </w:rPr>
        <w:t>1. Modification</w:t>
      </w:r>
      <w:r w:rsidR="00382D5F" w:rsidRPr="00DC2E6B">
        <w:rPr>
          <w:rFonts w:cstheme="minorHAnsi"/>
          <w:sz w:val="24"/>
          <w:szCs w:val="24"/>
          <w:lang w:val="fr-FR"/>
        </w:rPr>
        <w:t xml:space="preserve"> de l'habitat : altération permanente de l'environnement, par ex. remise en état des terres ;</w:t>
      </w:r>
    </w:p>
    <w:p w:rsidR="00382D5F" w:rsidRPr="00DC2E6B" w:rsidRDefault="00382D5F" w:rsidP="00382D5F">
      <w:pPr>
        <w:autoSpaceDE w:val="0"/>
        <w:autoSpaceDN w:val="0"/>
        <w:jc w:val="both"/>
        <w:rPr>
          <w:rFonts w:cstheme="minorHAnsi"/>
          <w:sz w:val="24"/>
          <w:szCs w:val="24"/>
          <w:lang w:val="fr-FR"/>
        </w:rPr>
      </w:pPr>
      <w:r w:rsidRPr="00DC2E6B">
        <w:rPr>
          <w:rFonts w:cstheme="minorHAnsi"/>
          <w:sz w:val="24"/>
          <w:szCs w:val="24"/>
          <w:lang w:val="fr-FR"/>
        </w:rPr>
        <w:t>2. La manipulation de l'habitat : une activité récurrente, par ex. rinçage des cours d'eau ;</w:t>
      </w:r>
    </w:p>
    <w:p w:rsidR="00382D5F" w:rsidRPr="00DC2E6B" w:rsidRDefault="00382D5F" w:rsidP="00382D5F">
      <w:pPr>
        <w:autoSpaceDE w:val="0"/>
        <w:autoSpaceDN w:val="0"/>
        <w:jc w:val="both"/>
        <w:rPr>
          <w:rFonts w:cstheme="minorHAnsi"/>
          <w:sz w:val="24"/>
          <w:szCs w:val="24"/>
          <w:lang w:val="fr-FR"/>
        </w:rPr>
      </w:pPr>
      <w:r w:rsidRPr="00DC2E6B">
        <w:rPr>
          <w:rFonts w:cstheme="minorHAnsi"/>
          <w:sz w:val="24"/>
          <w:szCs w:val="24"/>
          <w:lang w:val="fr-FR"/>
        </w:rPr>
        <w:t xml:space="preserve">3. </w:t>
      </w:r>
      <w:r w:rsidRPr="00DC2E6B">
        <w:rPr>
          <w:rFonts w:cstheme="minorHAnsi"/>
          <w:i/>
          <w:iCs/>
          <w:sz w:val="24"/>
          <w:szCs w:val="24"/>
          <w:lang w:val="fr-FR"/>
        </w:rPr>
        <w:t xml:space="preserve">Larvicide : l'application régulière d'insecticides biologiques ou chimiques sur les plans d'eau </w:t>
      </w:r>
      <w:r w:rsidRPr="00DC2E6B">
        <w:rPr>
          <w:rFonts w:cstheme="minorHAnsi"/>
          <w:sz w:val="24"/>
          <w:szCs w:val="24"/>
          <w:lang w:val="fr-FR"/>
        </w:rPr>
        <w:t>;</w:t>
      </w:r>
    </w:p>
    <w:p w:rsidR="00382D5F" w:rsidRPr="00DC2E6B" w:rsidRDefault="00382D5F" w:rsidP="00382D5F">
      <w:pPr>
        <w:autoSpaceDE w:val="0"/>
        <w:autoSpaceDN w:val="0"/>
        <w:jc w:val="both"/>
        <w:rPr>
          <w:rFonts w:cstheme="minorHAnsi"/>
          <w:sz w:val="24"/>
          <w:szCs w:val="24"/>
          <w:lang w:val="fr-FR"/>
        </w:rPr>
      </w:pPr>
      <w:r w:rsidRPr="00DC2E6B">
        <w:rPr>
          <w:rFonts w:cstheme="minorHAnsi"/>
          <w:sz w:val="24"/>
          <w:szCs w:val="24"/>
          <w:lang w:val="fr-FR"/>
        </w:rPr>
        <w:t>4. Lutte biologique : introduction de prédateurs naturels dans les plans d'eau.</w:t>
      </w:r>
    </w:p>
    <w:p w:rsidR="00382D5F" w:rsidRPr="00DC2E6B" w:rsidRDefault="00382D5F" w:rsidP="00382D5F">
      <w:pPr>
        <w:autoSpaceDE w:val="0"/>
        <w:autoSpaceDN w:val="0"/>
        <w:jc w:val="both"/>
        <w:rPr>
          <w:rFonts w:cstheme="minorHAnsi"/>
          <w:sz w:val="24"/>
          <w:szCs w:val="24"/>
          <w:lang w:val="fr-FR"/>
        </w:rPr>
      </w:pPr>
      <w:r w:rsidRPr="00DC2E6B">
        <w:rPr>
          <w:rFonts w:cstheme="minorHAnsi"/>
          <w:sz w:val="24"/>
          <w:szCs w:val="24"/>
          <w:lang w:val="fr-FR"/>
        </w:rPr>
        <w:t xml:space="preserve">En Haïti, le larvicide chimique est la méthode de lutte antivectorielle supplémentaire utilisée pour lutter contre le vecteur du paludisme qui a plutôt tendance  à se reposer et à piquer à l'extérieur des habitations, sans </w:t>
      </w:r>
      <w:r w:rsidR="00DC2E6B" w:rsidRPr="00DC2E6B">
        <w:rPr>
          <w:rFonts w:cstheme="minorHAnsi"/>
          <w:sz w:val="24"/>
          <w:szCs w:val="24"/>
          <w:lang w:val="fr-FR"/>
        </w:rPr>
        <w:t>être</w:t>
      </w:r>
      <w:r w:rsidRPr="00DC2E6B">
        <w:rPr>
          <w:rFonts w:cstheme="minorHAnsi"/>
          <w:sz w:val="24"/>
          <w:szCs w:val="24"/>
          <w:lang w:val="fr-FR"/>
        </w:rPr>
        <w:t xml:space="preserve"> affectés par les moustiquaires insecticides longue durée (MILD). L'utilisation de larvicides en Haïti cible les points chauds du paludisme où la transmission persiste malgré une couverture élevée en MILD. Les larvicides sont également utilisés dans le pays pour le contrôle des vecteurs des maladies à arbovirus et de la filariose lymphatique. Cette mesure de lutte antivectorielle a été introduite en Haïti comme mesure complémentaire de lutte antivectorielle bien que les preuves nécessaires de son impact sur la transmission du paludisme fassent défaut. Cette situation a incité le Groupe d'examen technique (TRP) du Fonds mondial, lors de l'examen de la dernière note conceptuelle sur le paludisme soumise pour financement, à demander une évaluation de l'intervention afin d'établir sa valeur ajoutée dans les efforts nationaux d'élimination du paludisme.</w:t>
      </w:r>
    </w:p>
    <w:p w:rsidR="005B3CEC" w:rsidRPr="00DC2E6B" w:rsidRDefault="005B3CEC" w:rsidP="005B3CEC">
      <w:pPr>
        <w:autoSpaceDE w:val="0"/>
        <w:autoSpaceDN w:val="0"/>
        <w:jc w:val="both"/>
        <w:rPr>
          <w:rFonts w:cstheme="minorHAnsi"/>
          <w:sz w:val="24"/>
          <w:szCs w:val="24"/>
          <w:lang w:val="fr-FR"/>
        </w:rPr>
      </w:pPr>
      <w:r w:rsidRPr="00DC2E6B">
        <w:rPr>
          <w:rFonts w:cstheme="minorHAnsi"/>
          <w:sz w:val="24"/>
          <w:szCs w:val="24"/>
          <w:lang w:val="fr-FR"/>
        </w:rPr>
        <w:t>Une grande partie des progrès récents dans la lutte contre le paludisme et la réduction du fardeau en Haïti ont été réalisés grâce à l'intensification de la distribution et de l'utilisation des MILD et à un accès rapide aux diagnostics et au traitement du paludisme. Il est donc important que la LSM soit utilisée comme mesure supplémentaire sans détourner les ressources nécessaires pour consolider la couverture des MILD et la prise en charge des cas.</w:t>
      </w:r>
    </w:p>
    <w:p w:rsidR="005B3CEC" w:rsidRPr="00DC2E6B" w:rsidRDefault="005B3CEC" w:rsidP="005B3CEC">
      <w:pPr>
        <w:autoSpaceDE w:val="0"/>
        <w:autoSpaceDN w:val="0"/>
        <w:jc w:val="both"/>
        <w:rPr>
          <w:rFonts w:cstheme="minorHAnsi"/>
          <w:sz w:val="24"/>
          <w:szCs w:val="24"/>
          <w:lang w:val="fr-FR"/>
        </w:rPr>
      </w:pPr>
    </w:p>
    <w:p w:rsidR="005B3CEC" w:rsidRPr="00DC2E6B" w:rsidRDefault="005B3CEC" w:rsidP="005B3CEC">
      <w:pPr>
        <w:autoSpaceDE w:val="0"/>
        <w:autoSpaceDN w:val="0"/>
        <w:jc w:val="both"/>
        <w:rPr>
          <w:rFonts w:cstheme="minorHAnsi"/>
          <w:sz w:val="24"/>
          <w:szCs w:val="24"/>
          <w:lang w:val="fr-FR"/>
        </w:rPr>
      </w:pPr>
      <w:r w:rsidRPr="00DC2E6B">
        <w:rPr>
          <w:rFonts w:cstheme="minorHAnsi"/>
          <w:sz w:val="24"/>
          <w:szCs w:val="24"/>
          <w:lang w:val="fr-FR"/>
        </w:rPr>
        <w:t>La déclaration de l'Organisation mondiale de la santé (OMS) sur l'utilisation du LSM en général et sur les larvicides en particulier recommande son utilisation dans les endroits où les vecteurs ont tendance à se reproduire dans des plans d'eau permanents ou semi-permanents qui peuvent être facilement identifiés et accessibles, c'est-à</w:t>
      </w:r>
      <w:r w:rsidR="00DC2E6B">
        <w:rPr>
          <w:rFonts w:cstheme="minorHAnsi"/>
          <w:sz w:val="24"/>
          <w:szCs w:val="24"/>
          <w:lang w:val="fr-FR"/>
        </w:rPr>
        <w:t>-dire des sites de reproduction</w:t>
      </w:r>
      <w:r w:rsidRPr="00DC2E6B">
        <w:rPr>
          <w:rFonts w:cstheme="minorHAnsi"/>
          <w:sz w:val="24"/>
          <w:szCs w:val="24"/>
          <w:lang w:val="fr-FR"/>
        </w:rPr>
        <w:t xml:space="preserve"> qui sont « </w:t>
      </w:r>
      <w:r w:rsidRPr="00DC2E6B">
        <w:rPr>
          <w:rFonts w:cstheme="minorHAnsi"/>
          <w:i/>
          <w:iCs/>
          <w:sz w:val="24"/>
          <w:szCs w:val="24"/>
          <w:lang w:val="fr-FR"/>
        </w:rPr>
        <w:t>peu nombreux, fixes et trouvables</w:t>
      </w:r>
      <w:r w:rsidRPr="00DC2E6B">
        <w:rPr>
          <w:rFonts w:cstheme="minorHAnsi"/>
          <w:sz w:val="24"/>
          <w:szCs w:val="24"/>
          <w:lang w:val="fr-FR"/>
        </w:rPr>
        <w:t xml:space="preserve"> », et où la densité de la population humaine à protéger est suffisamment élevée (zones urbaines et </w:t>
      </w:r>
      <w:r w:rsidR="00DC2E6B" w:rsidRPr="00DC2E6B">
        <w:rPr>
          <w:rFonts w:cstheme="minorHAnsi"/>
          <w:sz w:val="24"/>
          <w:szCs w:val="24"/>
          <w:lang w:val="fr-FR"/>
        </w:rPr>
        <w:t>péri-urbaines</w:t>
      </w:r>
      <w:r w:rsidRPr="00DC2E6B">
        <w:rPr>
          <w:rFonts w:cstheme="minorHAnsi"/>
          <w:sz w:val="24"/>
          <w:szCs w:val="24"/>
          <w:lang w:val="fr-FR"/>
        </w:rPr>
        <w:t>). Ces deux hypothèses constitueront le fondement de l'évaluation proposée et seront également le rationnel pour justifier l'utilisation des ressources pour les larvicides comme mesure supplémentaire de lutte antivectorielle en Haïti.</w:t>
      </w:r>
    </w:p>
    <w:p w:rsidR="005B3CEC" w:rsidRPr="00DC2E6B" w:rsidRDefault="005B3CEC" w:rsidP="005B3CEC">
      <w:pPr>
        <w:autoSpaceDE w:val="0"/>
        <w:autoSpaceDN w:val="0"/>
        <w:jc w:val="both"/>
        <w:rPr>
          <w:rFonts w:cstheme="minorHAnsi"/>
          <w:sz w:val="24"/>
          <w:szCs w:val="24"/>
          <w:lang w:val="fr-FR"/>
        </w:rPr>
      </w:pPr>
    </w:p>
    <w:p w:rsidR="005B3CEC" w:rsidRPr="00DC2E6B" w:rsidRDefault="005B3CEC" w:rsidP="005B3CEC">
      <w:pPr>
        <w:autoSpaceDE w:val="0"/>
        <w:autoSpaceDN w:val="0"/>
        <w:jc w:val="both"/>
        <w:rPr>
          <w:rFonts w:cstheme="minorHAnsi"/>
          <w:sz w:val="24"/>
          <w:szCs w:val="24"/>
          <w:lang w:val="fr-FR"/>
        </w:rPr>
      </w:pPr>
      <w:r w:rsidRPr="00DC2E6B">
        <w:rPr>
          <w:rFonts w:cstheme="minorHAnsi"/>
          <w:sz w:val="24"/>
          <w:szCs w:val="24"/>
          <w:lang w:val="fr-FR"/>
        </w:rPr>
        <w:t xml:space="preserve">En résumé, les larvicides ne doivent jamais être utilisés comme substitut des MILD ou des PID dans les zones à risque important de paludisme. L'utilisation de larvicides est plus susceptible d'être rentable dans les zones urbaines où les conditions appropriées sont plus susceptibles d'être présentes. L'OMS a également recommandé que les ressources pour les interventions de base (MILD et PID) ne soient pas détournées pour l'utilisation de larvicides dans de tels contextes. Haïti met actuellement en œuvre des traitements larvicides dans certaines parties du pays, mais aucune évaluation n'a été menée pour évaluer le rapport coût-efficacité et l'impact attribuable à cette intervention en tant qu'approche complémentaire à la lutte antivectorielle. </w:t>
      </w:r>
    </w:p>
    <w:p w:rsidR="005B3CEC" w:rsidRPr="00DC2E6B" w:rsidRDefault="005B3CEC" w:rsidP="005B3CEC">
      <w:pPr>
        <w:autoSpaceDE w:val="0"/>
        <w:autoSpaceDN w:val="0"/>
        <w:jc w:val="both"/>
        <w:rPr>
          <w:rFonts w:cstheme="minorHAnsi"/>
          <w:sz w:val="24"/>
          <w:szCs w:val="24"/>
          <w:lang w:val="fr-FR"/>
        </w:rPr>
      </w:pPr>
      <w:r w:rsidRPr="00DC2E6B">
        <w:rPr>
          <w:rFonts w:cstheme="minorHAnsi"/>
          <w:sz w:val="24"/>
          <w:szCs w:val="24"/>
          <w:lang w:val="fr-FR"/>
        </w:rPr>
        <w:t xml:space="preserve">C'est dans ce contexte que le </w:t>
      </w:r>
      <w:r w:rsidR="00DC2E6B">
        <w:rPr>
          <w:rFonts w:cstheme="minorHAnsi"/>
          <w:sz w:val="24"/>
          <w:szCs w:val="24"/>
          <w:lang w:val="fr-FR"/>
        </w:rPr>
        <w:t>Programme National de Lutte contre la Malaria (</w:t>
      </w:r>
      <w:r w:rsidRPr="00DC2E6B">
        <w:rPr>
          <w:rFonts w:cstheme="minorHAnsi"/>
          <w:sz w:val="24"/>
          <w:szCs w:val="24"/>
          <w:lang w:val="fr-FR"/>
        </w:rPr>
        <w:t>PNCM</w:t>
      </w:r>
      <w:r w:rsidR="00DC2E6B">
        <w:rPr>
          <w:rFonts w:cstheme="minorHAnsi"/>
          <w:sz w:val="24"/>
          <w:szCs w:val="24"/>
          <w:lang w:val="fr-FR"/>
        </w:rPr>
        <w:t>)</w:t>
      </w:r>
      <w:r w:rsidRPr="00DC2E6B">
        <w:rPr>
          <w:rFonts w:cstheme="minorHAnsi"/>
          <w:sz w:val="24"/>
          <w:szCs w:val="24"/>
          <w:lang w:val="fr-FR"/>
        </w:rPr>
        <w:t xml:space="preserve"> en Haïti envisage de mener une </w:t>
      </w:r>
      <w:r w:rsidRPr="00DC2E6B">
        <w:rPr>
          <w:rFonts w:cstheme="minorHAnsi"/>
          <w:bCs/>
          <w:sz w:val="24"/>
          <w:szCs w:val="24"/>
          <w:lang w:val="fr-FR"/>
        </w:rPr>
        <w:t>étude d'évaluation de l'impact et de cout-efficacité des larvicides dans des foyers de transmission</w:t>
      </w:r>
      <w:r w:rsidRPr="00DC2E6B">
        <w:rPr>
          <w:rFonts w:cstheme="minorHAnsi"/>
          <w:sz w:val="24"/>
          <w:szCs w:val="24"/>
          <w:lang w:val="fr-FR"/>
        </w:rPr>
        <w:t xml:space="preserve"> sélectionnés pour laquelle l’appui d’un </w:t>
      </w:r>
      <w:r w:rsidR="00DC2E6B">
        <w:rPr>
          <w:rFonts w:cstheme="minorHAnsi"/>
          <w:bCs/>
          <w:sz w:val="24"/>
          <w:szCs w:val="24"/>
          <w:lang w:val="fr-FR"/>
        </w:rPr>
        <w:t>c</w:t>
      </w:r>
      <w:r w:rsidRPr="00DC2E6B">
        <w:rPr>
          <w:rFonts w:cstheme="minorHAnsi"/>
          <w:bCs/>
          <w:sz w:val="24"/>
          <w:szCs w:val="24"/>
          <w:lang w:val="fr-FR"/>
        </w:rPr>
        <w:t>onsultant en entomologie</w:t>
      </w:r>
      <w:r w:rsidRPr="00DC2E6B">
        <w:rPr>
          <w:rFonts w:cstheme="minorHAnsi"/>
          <w:b/>
          <w:bCs/>
          <w:sz w:val="24"/>
          <w:szCs w:val="24"/>
          <w:lang w:val="fr-FR"/>
        </w:rPr>
        <w:t xml:space="preserve"> </w:t>
      </w:r>
      <w:r w:rsidRPr="00DC2E6B">
        <w:rPr>
          <w:rFonts w:cstheme="minorHAnsi"/>
          <w:sz w:val="24"/>
          <w:szCs w:val="24"/>
          <w:lang w:val="fr-FR"/>
        </w:rPr>
        <w:t>est requis.</w:t>
      </w:r>
    </w:p>
    <w:p w:rsidR="005B3CEC" w:rsidRPr="00B074BB" w:rsidRDefault="005B3CEC" w:rsidP="00382D5F">
      <w:pPr>
        <w:autoSpaceDE w:val="0"/>
        <w:autoSpaceDN w:val="0"/>
        <w:jc w:val="both"/>
        <w:rPr>
          <w:rFonts w:cstheme="minorHAnsi"/>
          <w:sz w:val="20"/>
          <w:szCs w:val="20"/>
          <w:lang w:val="fr-FR"/>
        </w:rPr>
      </w:pPr>
    </w:p>
    <w:p w:rsidR="001858D4" w:rsidRPr="008C38B5" w:rsidRDefault="008C38B5" w:rsidP="002B0BE7">
      <w:pPr>
        <w:pStyle w:val="ListParagraph"/>
        <w:numPr>
          <w:ilvl w:val="0"/>
          <w:numId w:val="1"/>
        </w:numPr>
        <w:shd w:val="clear" w:color="auto" w:fill="FFFFFF"/>
        <w:spacing w:after="300" w:line="276" w:lineRule="auto"/>
        <w:jc w:val="both"/>
        <w:rPr>
          <w:rFonts w:ascii="Times New Roman" w:hAnsi="Times New Roman" w:cs="Times New Roman"/>
          <w:b/>
          <w:sz w:val="24"/>
          <w:szCs w:val="24"/>
          <w:lang w:val="fr-FR"/>
        </w:rPr>
      </w:pPr>
      <w:r>
        <w:rPr>
          <w:rFonts w:cstheme="minorHAnsi"/>
          <w:b/>
          <w:sz w:val="24"/>
          <w:szCs w:val="24"/>
          <w:lang w:val="fr-FR"/>
        </w:rPr>
        <w:t>O</w:t>
      </w:r>
      <w:r w:rsidR="00E54806" w:rsidRPr="003B16AA">
        <w:rPr>
          <w:rFonts w:cstheme="minorHAnsi"/>
          <w:b/>
          <w:sz w:val="24"/>
          <w:szCs w:val="24"/>
          <w:lang w:val="fr-FR"/>
        </w:rPr>
        <w:t xml:space="preserve">bjectifs </w:t>
      </w:r>
      <w:r w:rsidR="001858D4" w:rsidRPr="003B16AA">
        <w:rPr>
          <w:rFonts w:cstheme="minorHAnsi"/>
          <w:b/>
          <w:sz w:val="24"/>
          <w:szCs w:val="24"/>
          <w:lang w:val="fr-FR"/>
        </w:rPr>
        <w:t>de la Consultation</w:t>
      </w:r>
      <w:r w:rsidR="004C115D" w:rsidRPr="00E54806">
        <w:rPr>
          <w:rFonts w:ascii="Times New Roman" w:hAnsi="Times New Roman" w:cs="Times New Roman"/>
          <w:b/>
          <w:sz w:val="24"/>
          <w:szCs w:val="24"/>
          <w:lang w:val="fr-FR"/>
        </w:rPr>
        <w:t> </w:t>
      </w:r>
    </w:p>
    <w:p w:rsidR="008C38B5" w:rsidRPr="00DC2E6B" w:rsidRDefault="008C38B5" w:rsidP="00DC2E6B">
      <w:pPr>
        <w:pStyle w:val="ListParagraph"/>
        <w:shd w:val="clear" w:color="auto" w:fill="FFFFFF"/>
        <w:spacing w:after="300" w:line="276" w:lineRule="auto"/>
        <w:ind w:left="0"/>
        <w:jc w:val="both"/>
        <w:rPr>
          <w:rFonts w:cstheme="minorHAnsi"/>
          <w:sz w:val="24"/>
          <w:szCs w:val="24"/>
          <w:lang w:val="fr-FR"/>
        </w:rPr>
      </w:pPr>
      <w:r w:rsidRPr="00DC2E6B">
        <w:rPr>
          <w:rFonts w:cstheme="minorHAnsi"/>
          <w:b/>
          <w:sz w:val="24"/>
          <w:szCs w:val="24"/>
          <w:lang w:val="fr-FR"/>
        </w:rPr>
        <w:t>Objectif principal</w:t>
      </w:r>
      <w:r w:rsidRPr="00DC2E6B">
        <w:rPr>
          <w:rFonts w:cstheme="minorHAnsi"/>
          <w:sz w:val="24"/>
          <w:szCs w:val="24"/>
          <w:lang w:val="fr-FR"/>
        </w:rPr>
        <w:t> :</w:t>
      </w:r>
    </w:p>
    <w:p w:rsidR="008C38B5" w:rsidRPr="00DC2E6B" w:rsidRDefault="008C38B5" w:rsidP="00DC2E6B">
      <w:pPr>
        <w:pStyle w:val="ListParagraph"/>
        <w:shd w:val="clear" w:color="auto" w:fill="FFFFFF"/>
        <w:spacing w:after="300" w:line="276" w:lineRule="auto"/>
        <w:ind w:left="0"/>
        <w:jc w:val="both"/>
        <w:rPr>
          <w:rFonts w:cstheme="minorHAnsi"/>
          <w:sz w:val="24"/>
          <w:szCs w:val="24"/>
          <w:lang w:val="fr-FR"/>
        </w:rPr>
      </w:pPr>
      <w:r w:rsidRPr="00DC2E6B">
        <w:rPr>
          <w:rFonts w:cstheme="minorHAnsi"/>
          <w:sz w:val="24"/>
          <w:szCs w:val="24"/>
          <w:lang w:val="fr-FR"/>
        </w:rPr>
        <w:t>L'objectif principal de l'évaluation est de rassembler des preuves de la rentabilité de la LSM pour justifier la poursuite de l'utilisation des larvicides chimiques comme mesure supplémentaire de lutte antivectorielle et ainsi accélérer la réduction de la transmission du paludisme dans les zones endémiques qui ont déjà atteint une couverture élevée de MILD et de prise en charge des cas</w:t>
      </w:r>
    </w:p>
    <w:p w:rsidR="008C38B5" w:rsidRPr="00DC2E6B" w:rsidRDefault="008C38B5" w:rsidP="00DC2E6B">
      <w:pPr>
        <w:pStyle w:val="ListParagraph"/>
        <w:shd w:val="clear" w:color="auto" w:fill="FFFFFF"/>
        <w:spacing w:after="300" w:line="276" w:lineRule="auto"/>
        <w:ind w:left="0"/>
        <w:jc w:val="both"/>
        <w:rPr>
          <w:rFonts w:cstheme="minorHAnsi"/>
          <w:sz w:val="24"/>
          <w:szCs w:val="24"/>
          <w:lang w:val="fr-FR"/>
        </w:rPr>
      </w:pPr>
      <w:r w:rsidRPr="00DC2E6B">
        <w:rPr>
          <w:rFonts w:cstheme="minorHAnsi"/>
          <w:b/>
          <w:sz w:val="24"/>
          <w:szCs w:val="24"/>
          <w:lang w:val="fr-FR"/>
        </w:rPr>
        <w:t>Objectif secondaire</w:t>
      </w:r>
      <w:r w:rsidRPr="00DC2E6B">
        <w:rPr>
          <w:rFonts w:cstheme="minorHAnsi"/>
          <w:sz w:val="24"/>
          <w:szCs w:val="24"/>
          <w:lang w:val="fr-FR"/>
        </w:rPr>
        <w:t> :</w:t>
      </w:r>
    </w:p>
    <w:p w:rsidR="008C38B5" w:rsidRPr="00DC2E6B" w:rsidRDefault="008C38B5" w:rsidP="00DC2E6B">
      <w:pPr>
        <w:pStyle w:val="ListParagraph"/>
        <w:shd w:val="clear" w:color="auto" w:fill="FFFFFF"/>
        <w:spacing w:after="300" w:line="276" w:lineRule="auto"/>
        <w:ind w:left="0"/>
        <w:jc w:val="both"/>
        <w:rPr>
          <w:rFonts w:ascii="Times New Roman" w:hAnsi="Times New Roman" w:cs="Times New Roman"/>
          <w:b/>
          <w:sz w:val="24"/>
          <w:szCs w:val="24"/>
          <w:lang w:val="fr-FR"/>
        </w:rPr>
      </w:pPr>
      <w:r w:rsidRPr="00DC2E6B">
        <w:rPr>
          <w:rFonts w:cstheme="minorHAnsi"/>
          <w:sz w:val="24"/>
          <w:szCs w:val="24"/>
          <w:lang w:val="fr-FR"/>
        </w:rPr>
        <w:t xml:space="preserve">L'objectif secondaire est d'établir la qualité de l'intervention et si les interventions larvicides en cours répondent aux critères d'inclusion établis par l'OMS. L'évaluation vise également à évaluer l'impact des larvicides pour réduire la transmission du paludisme dans les zones urbaines ou rurale </w:t>
      </w:r>
      <w:r w:rsidR="00061A34" w:rsidRPr="00DC2E6B">
        <w:rPr>
          <w:rFonts w:cstheme="minorHAnsi"/>
          <w:sz w:val="24"/>
          <w:szCs w:val="24"/>
          <w:lang w:val="fr-FR"/>
        </w:rPr>
        <w:t>densément</w:t>
      </w:r>
      <w:r w:rsidRPr="00DC2E6B">
        <w:rPr>
          <w:rFonts w:cstheme="minorHAnsi"/>
          <w:sz w:val="24"/>
          <w:szCs w:val="24"/>
          <w:lang w:val="fr-FR"/>
        </w:rPr>
        <w:t xml:space="preserve"> peuplées situées dans des foyers de transmission élevée qui sont classés en rouge dans la stratification actuelle de transmission du paludisme</w:t>
      </w:r>
    </w:p>
    <w:p w:rsidR="00103498" w:rsidRPr="00103498" w:rsidRDefault="00103498" w:rsidP="00103498">
      <w:pPr>
        <w:pStyle w:val="ListParagraph"/>
        <w:shd w:val="clear" w:color="auto" w:fill="FFFFFF"/>
        <w:spacing w:after="300" w:line="276" w:lineRule="auto"/>
        <w:jc w:val="both"/>
        <w:rPr>
          <w:rFonts w:ascii="Times New Roman" w:hAnsi="Times New Roman" w:cs="Times New Roman"/>
          <w:b/>
          <w:sz w:val="24"/>
          <w:szCs w:val="24"/>
          <w:lang w:val="fr-FR"/>
        </w:rPr>
      </w:pPr>
    </w:p>
    <w:p w:rsidR="001858D4" w:rsidRPr="003B16AA" w:rsidRDefault="008C38B5" w:rsidP="002B0BE7">
      <w:pPr>
        <w:pStyle w:val="ListParagraph"/>
        <w:numPr>
          <w:ilvl w:val="0"/>
          <w:numId w:val="1"/>
        </w:numPr>
        <w:jc w:val="both"/>
        <w:rPr>
          <w:rFonts w:cstheme="minorHAnsi"/>
          <w:b/>
          <w:sz w:val="24"/>
          <w:szCs w:val="24"/>
          <w:lang w:val="fr-FR"/>
        </w:rPr>
      </w:pPr>
      <w:r>
        <w:rPr>
          <w:rFonts w:cstheme="minorHAnsi"/>
          <w:b/>
          <w:sz w:val="24"/>
          <w:szCs w:val="24"/>
          <w:lang w:val="fr-FR"/>
        </w:rPr>
        <w:t xml:space="preserve">Conditions </w:t>
      </w:r>
      <w:r w:rsidR="00061A34">
        <w:rPr>
          <w:rFonts w:cstheme="minorHAnsi"/>
          <w:b/>
          <w:sz w:val="24"/>
          <w:szCs w:val="24"/>
          <w:lang w:val="fr-FR"/>
        </w:rPr>
        <w:t>spéciales</w:t>
      </w:r>
      <w:r w:rsidR="00DC2E6B">
        <w:rPr>
          <w:rFonts w:cstheme="minorHAnsi"/>
          <w:b/>
          <w:sz w:val="24"/>
          <w:szCs w:val="24"/>
          <w:lang w:val="fr-FR"/>
        </w:rPr>
        <w:t xml:space="preserve"> de l’</w:t>
      </w:r>
      <w:r w:rsidR="00061A34">
        <w:rPr>
          <w:rFonts w:cstheme="minorHAnsi"/>
          <w:b/>
          <w:sz w:val="24"/>
          <w:szCs w:val="24"/>
          <w:lang w:val="fr-FR"/>
        </w:rPr>
        <w:t>évaluation</w:t>
      </w:r>
    </w:p>
    <w:p w:rsidR="00714D16" w:rsidRPr="00061A34" w:rsidRDefault="00525FD7" w:rsidP="00525FD7">
      <w:pPr>
        <w:jc w:val="both"/>
        <w:rPr>
          <w:rFonts w:cstheme="minorHAnsi"/>
          <w:sz w:val="24"/>
          <w:szCs w:val="24"/>
          <w:lang w:val="fr-FR"/>
        </w:rPr>
      </w:pPr>
      <w:r w:rsidRPr="00061A34">
        <w:rPr>
          <w:rFonts w:cstheme="minorHAnsi"/>
          <w:sz w:val="24"/>
          <w:szCs w:val="24"/>
          <w:lang w:val="fr-FR"/>
        </w:rPr>
        <w:t>Les critères de sélection et d'inclusion prennent en compte les zones sensibles dont les conditions écologiques favorisent la reproduction des moustiques, comme mentionné ci-dessus, et contribuent à la transmission du paludisme dans les zones à forte densité de population humaine, telles que les grandes zones urbaines classées comme « rouges » dans la stratification actuelle du risque de transmission du paludisme</w:t>
      </w:r>
    </w:p>
    <w:p w:rsidR="00525FD7" w:rsidRPr="00061A34" w:rsidRDefault="00525FD7" w:rsidP="00525FD7">
      <w:pPr>
        <w:autoSpaceDE w:val="0"/>
        <w:autoSpaceDN w:val="0"/>
        <w:jc w:val="both"/>
        <w:rPr>
          <w:rFonts w:cstheme="minorHAnsi"/>
          <w:sz w:val="24"/>
          <w:szCs w:val="24"/>
          <w:lang w:val="fr-FR"/>
        </w:rPr>
      </w:pPr>
      <w:r w:rsidRPr="00061A34">
        <w:rPr>
          <w:rFonts w:cstheme="minorHAnsi"/>
          <w:sz w:val="24"/>
          <w:szCs w:val="24"/>
          <w:lang w:val="fr-FR"/>
        </w:rPr>
        <w:t>Dans la mesure du possible, l’</w:t>
      </w:r>
      <w:r w:rsidR="00061A34" w:rsidRPr="00061A34">
        <w:rPr>
          <w:rFonts w:cstheme="minorHAnsi"/>
          <w:sz w:val="24"/>
          <w:szCs w:val="24"/>
          <w:lang w:val="fr-FR"/>
        </w:rPr>
        <w:t>évaluation</w:t>
      </w:r>
      <w:r w:rsidRPr="00061A34">
        <w:rPr>
          <w:rFonts w:cstheme="minorHAnsi"/>
          <w:sz w:val="24"/>
          <w:szCs w:val="24"/>
          <w:lang w:val="fr-FR"/>
        </w:rPr>
        <w:t xml:space="preserve"> </w:t>
      </w:r>
      <w:r w:rsidR="00061A34">
        <w:rPr>
          <w:rFonts w:cstheme="minorHAnsi"/>
          <w:sz w:val="24"/>
          <w:szCs w:val="24"/>
          <w:lang w:val="fr-FR"/>
        </w:rPr>
        <w:t>étudiera</w:t>
      </w:r>
      <w:r w:rsidRPr="00061A34">
        <w:rPr>
          <w:rFonts w:cstheme="minorHAnsi"/>
          <w:sz w:val="24"/>
          <w:szCs w:val="24"/>
          <w:lang w:val="fr-FR"/>
        </w:rPr>
        <w:t xml:space="preserve"> l'impact des traitements larvicides sur la densité des larves, la densité des moustiques adultes et l'incidence du paludisme en termes de </w:t>
      </w:r>
      <w:r w:rsidRPr="00061A34">
        <w:rPr>
          <w:rFonts w:cstheme="minorHAnsi"/>
          <w:sz w:val="24"/>
          <w:szCs w:val="24"/>
          <w:lang w:val="fr-FR"/>
        </w:rPr>
        <w:lastRenderedPageBreak/>
        <w:t>réduction du paludisme avant et après le traitement chimique des sites de reproduction sélectionnés.</w:t>
      </w:r>
    </w:p>
    <w:p w:rsidR="00525FD7" w:rsidRPr="00061A34" w:rsidRDefault="00525FD7" w:rsidP="00525FD7">
      <w:pPr>
        <w:autoSpaceDE w:val="0"/>
        <w:autoSpaceDN w:val="0"/>
        <w:jc w:val="both"/>
        <w:rPr>
          <w:rFonts w:cstheme="minorHAnsi"/>
          <w:sz w:val="24"/>
          <w:szCs w:val="24"/>
          <w:lang w:val="fr-FR"/>
        </w:rPr>
      </w:pPr>
      <w:r w:rsidRPr="00061A34">
        <w:rPr>
          <w:rFonts w:cstheme="minorHAnsi"/>
          <w:sz w:val="24"/>
          <w:szCs w:val="24"/>
          <w:lang w:val="fr-FR"/>
        </w:rPr>
        <w:t>L'évaluation tiendra également compte du niveau de couverture des MILD et de la prise en charge de première ligne des cas de paludisme dans les sites sélectionnés. Les larvicides à utiliser dans l'évaluation sont ceux déjà enregistrés dans le pays et en cours d'utilisation par l</w:t>
      </w:r>
      <w:r w:rsidR="003F40C6">
        <w:rPr>
          <w:rFonts w:cstheme="minorHAnsi"/>
          <w:sz w:val="24"/>
          <w:szCs w:val="24"/>
          <w:lang w:val="fr-FR"/>
        </w:rPr>
        <w:t>’UCMIT/</w:t>
      </w:r>
      <w:r w:rsidRPr="00061A34">
        <w:rPr>
          <w:rFonts w:cstheme="minorHAnsi"/>
          <w:sz w:val="24"/>
          <w:szCs w:val="24"/>
          <w:lang w:val="fr-FR"/>
        </w:rPr>
        <w:t>PNCM. L'étendue minimale et maximale des habitats aquatiques des moustiques à évaluer sera décidée par les experts effectuant l'évaluation conformément à la déclaration du PNCM et de l'OMS sur le LSM.</w:t>
      </w:r>
    </w:p>
    <w:p w:rsidR="00525FD7" w:rsidRPr="00061A34" w:rsidRDefault="00525FD7" w:rsidP="00525FD7">
      <w:pPr>
        <w:autoSpaceDE w:val="0"/>
        <w:autoSpaceDN w:val="0"/>
        <w:jc w:val="both"/>
        <w:rPr>
          <w:rFonts w:cstheme="minorHAnsi"/>
          <w:sz w:val="24"/>
          <w:szCs w:val="24"/>
          <w:lang w:val="fr-FR"/>
        </w:rPr>
      </w:pPr>
      <w:r w:rsidRPr="00061A34">
        <w:rPr>
          <w:rFonts w:cstheme="minorHAnsi"/>
          <w:sz w:val="24"/>
          <w:szCs w:val="24"/>
          <w:lang w:val="fr-FR"/>
        </w:rPr>
        <w:t xml:space="preserve">Cette évaluation sera menée à travers d’une part l'examen des dossiers du PNCM liés à tous les aspects des opérations de traitement larvicide tout en tenant compte des tendances de la surveillance de l'incidence du paludisme au cours de la période couverte par l'examen dans les zones ciblées, et d’autre part </w:t>
      </w:r>
      <w:r w:rsidR="00061A34" w:rsidRPr="00061A34">
        <w:rPr>
          <w:rFonts w:cstheme="minorHAnsi"/>
          <w:sz w:val="24"/>
          <w:szCs w:val="24"/>
          <w:lang w:val="fr-FR"/>
        </w:rPr>
        <w:t>à</w:t>
      </w:r>
      <w:r w:rsidRPr="00061A34">
        <w:rPr>
          <w:rFonts w:cstheme="minorHAnsi"/>
          <w:sz w:val="24"/>
          <w:szCs w:val="24"/>
          <w:lang w:val="fr-FR"/>
        </w:rPr>
        <w:t xml:space="preserve"> travers une enquête de terrain menée en routine via la collecte de données par les brigadiers d</w:t>
      </w:r>
      <w:r w:rsidR="00A46FF2">
        <w:rPr>
          <w:rFonts w:cstheme="minorHAnsi"/>
          <w:sz w:val="24"/>
          <w:szCs w:val="24"/>
          <w:lang w:val="fr-FR"/>
        </w:rPr>
        <w:t>e l’UCMIT/</w:t>
      </w:r>
      <w:r w:rsidRPr="00061A34">
        <w:rPr>
          <w:rFonts w:cstheme="minorHAnsi"/>
          <w:sz w:val="24"/>
          <w:szCs w:val="24"/>
          <w:lang w:val="fr-FR"/>
        </w:rPr>
        <w:t xml:space="preserve"> PNCM et leur analyse par des experts en appui</w:t>
      </w:r>
    </w:p>
    <w:p w:rsidR="00A02563" w:rsidRPr="00061A34" w:rsidRDefault="00A02563" w:rsidP="00525FD7">
      <w:pPr>
        <w:autoSpaceDE w:val="0"/>
        <w:autoSpaceDN w:val="0"/>
        <w:jc w:val="both"/>
        <w:rPr>
          <w:rFonts w:cstheme="minorHAnsi"/>
          <w:sz w:val="24"/>
          <w:szCs w:val="24"/>
          <w:lang w:val="fr-FR"/>
        </w:rPr>
      </w:pPr>
      <w:r w:rsidRPr="00061A34">
        <w:rPr>
          <w:rFonts w:cstheme="minorHAnsi"/>
          <w:sz w:val="24"/>
          <w:szCs w:val="24"/>
          <w:lang w:val="fr-FR"/>
        </w:rPr>
        <w:t xml:space="preserve">Les résultats et la conclusion de l'évaluation doivent mener </w:t>
      </w:r>
      <w:r w:rsidR="00061A34" w:rsidRPr="00061A34">
        <w:rPr>
          <w:rFonts w:cstheme="minorHAnsi"/>
          <w:sz w:val="24"/>
          <w:szCs w:val="24"/>
          <w:lang w:val="fr-FR"/>
        </w:rPr>
        <w:t>à</w:t>
      </w:r>
      <w:r w:rsidRPr="00061A34">
        <w:rPr>
          <w:rFonts w:cstheme="minorHAnsi"/>
          <w:sz w:val="24"/>
          <w:szCs w:val="24"/>
          <w:lang w:val="fr-FR"/>
        </w:rPr>
        <w:t xml:space="preserve"> des recommandations concernant la poursuite de cette intervention, en spécifiant les lieux et moments où celle-ci devrait </w:t>
      </w:r>
      <w:r w:rsidR="00061A34" w:rsidRPr="00061A34">
        <w:rPr>
          <w:rFonts w:cstheme="minorHAnsi"/>
          <w:sz w:val="24"/>
          <w:szCs w:val="24"/>
          <w:lang w:val="fr-FR"/>
        </w:rPr>
        <w:t>être</w:t>
      </w:r>
      <w:r w:rsidRPr="00061A34">
        <w:rPr>
          <w:rFonts w:cstheme="minorHAnsi"/>
          <w:sz w:val="24"/>
          <w:szCs w:val="24"/>
          <w:lang w:val="fr-FR"/>
        </w:rPr>
        <w:t xml:space="preserve"> mise en œuvre, ou, le cas échéant, si celle-ci est inutile</w:t>
      </w:r>
    </w:p>
    <w:p w:rsidR="001858D4" w:rsidRPr="003B16AA" w:rsidRDefault="00C14A57" w:rsidP="002B0BE7">
      <w:pPr>
        <w:pStyle w:val="ListParagraph"/>
        <w:numPr>
          <w:ilvl w:val="0"/>
          <w:numId w:val="1"/>
        </w:numPr>
        <w:jc w:val="both"/>
        <w:rPr>
          <w:rFonts w:cstheme="minorHAnsi"/>
          <w:b/>
          <w:sz w:val="24"/>
          <w:szCs w:val="24"/>
          <w:lang w:val="fr-FR"/>
        </w:rPr>
      </w:pPr>
      <w:r>
        <w:rPr>
          <w:rFonts w:cstheme="minorHAnsi"/>
          <w:b/>
          <w:sz w:val="24"/>
          <w:szCs w:val="24"/>
          <w:lang w:val="fr-FR"/>
        </w:rPr>
        <w:t>Tâ</w:t>
      </w:r>
      <w:r w:rsidRPr="003B16AA">
        <w:rPr>
          <w:rFonts w:cstheme="minorHAnsi"/>
          <w:b/>
          <w:sz w:val="24"/>
          <w:szCs w:val="24"/>
          <w:lang w:val="fr-FR"/>
        </w:rPr>
        <w:t>che</w:t>
      </w:r>
      <w:r>
        <w:rPr>
          <w:rFonts w:cstheme="minorHAnsi"/>
          <w:b/>
          <w:sz w:val="24"/>
          <w:szCs w:val="24"/>
          <w:lang w:val="fr-FR"/>
        </w:rPr>
        <w:t>s</w:t>
      </w:r>
      <w:r w:rsidR="001858D4" w:rsidRPr="003B16AA">
        <w:rPr>
          <w:rFonts w:cstheme="minorHAnsi"/>
          <w:b/>
          <w:sz w:val="24"/>
          <w:szCs w:val="24"/>
          <w:lang w:val="fr-FR"/>
        </w:rPr>
        <w:t>/Responsabilités du consultant</w:t>
      </w:r>
    </w:p>
    <w:p w:rsidR="00E71E67" w:rsidRPr="00E54806" w:rsidRDefault="00E71E67" w:rsidP="002B0BE7">
      <w:pPr>
        <w:pStyle w:val="ListParagraph"/>
        <w:jc w:val="both"/>
        <w:rPr>
          <w:rFonts w:ascii="Times New Roman" w:hAnsi="Times New Roman" w:cs="Times New Roman"/>
          <w:b/>
          <w:sz w:val="24"/>
          <w:szCs w:val="24"/>
          <w:lang w:val="fr-FR"/>
        </w:rPr>
      </w:pPr>
    </w:p>
    <w:p w:rsidR="00714D16" w:rsidRPr="00061A34" w:rsidRDefault="00525FD7" w:rsidP="00061A34">
      <w:pPr>
        <w:pStyle w:val="ListParagraph"/>
        <w:numPr>
          <w:ilvl w:val="0"/>
          <w:numId w:val="33"/>
        </w:numPr>
        <w:jc w:val="both"/>
        <w:rPr>
          <w:rFonts w:cstheme="minorHAnsi"/>
          <w:sz w:val="24"/>
          <w:szCs w:val="24"/>
          <w:lang w:val="fr-FR"/>
        </w:rPr>
      </w:pPr>
      <w:r w:rsidRPr="00061A34">
        <w:rPr>
          <w:rFonts w:cstheme="minorHAnsi"/>
          <w:sz w:val="24"/>
          <w:szCs w:val="24"/>
          <w:lang w:val="fr-FR"/>
        </w:rPr>
        <w:t xml:space="preserve">Examiner les dossiers existants du </w:t>
      </w:r>
      <w:r w:rsidR="00A46FF2">
        <w:rPr>
          <w:rFonts w:cstheme="minorHAnsi"/>
          <w:sz w:val="24"/>
          <w:szCs w:val="24"/>
          <w:lang w:val="fr-FR"/>
        </w:rPr>
        <w:t>programme</w:t>
      </w:r>
      <w:r w:rsidRPr="00061A34">
        <w:rPr>
          <w:rFonts w:cstheme="minorHAnsi"/>
          <w:sz w:val="24"/>
          <w:szCs w:val="24"/>
          <w:lang w:val="fr-FR"/>
        </w:rPr>
        <w:t xml:space="preserve"> relatifs aux opérations de traitement larvicide en Haïti et consolider les informations relatives à l'impact du traitement larvicide sur la biomasse larvaire, les moustiques adultes et l'intensité de la transmission du paludisme</w:t>
      </w:r>
    </w:p>
    <w:p w:rsidR="00525FD7" w:rsidRPr="00061A34" w:rsidRDefault="00525FD7" w:rsidP="00061A34">
      <w:pPr>
        <w:pStyle w:val="ListParagraph"/>
        <w:numPr>
          <w:ilvl w:val="0"/>
          <w:numId w:val="33"/>
        </w:numPr>
        <w:jc w:val="both"/>
        <w:rPr>
          <w:rFonts w:cstheme="minorHAnsi"/>
          <w:sz w:val="24"/>
          <w:szCs w:val="24"/>
          <w:lang w:val="fr-FR"/>
        </w:rPr>
      </w:pPr>
      <w:r w:rsidRPr="00061A34">
        <w:rPr>
          <w:rFonts w:cstheme="minorHAnsi"/>
          <w:sz w:val="24"/>
          <w:szCs w:val="24"/>
          <w:lang w:val="fr-FR"/>
        </w:rPr>
        <w:t>Programmer, organiser et planifier toutes les activités clés de collecte de données, y compris le travail sur le terrain, les entretiens approfondis et/ou les discussions de groupe, selon le protocole d’</w:t>
      </w:r>
      <w:r w:rsidR="00061A34" w:rsidRPr="00061A34">
        <w:rPr>
          <w:rFonts w:cstheme="minorHAnsi"/>
          <w:sz w:val="24"/>
          <w:szCs w:val="24"/>
          <w:lang w:val="fr-FR"/>
        </w:rPr>
        <w:t>étude</w:t>
      </w:r>
      <w:r w:rsidRPr="00061A34">
        <w:rPr>
          <w:rFonts w:cstheme="minorHAnsi"/>
          <w:sz w:val="24"/>
          <w:szCs w:val="24"/>
          <w:lang w:val="fr-FR"/>
        </w:rPr>
        <w:t xml:space="preserve"> </w:t>
      </w:r>
      <w:r w:rsidR="00061A34" w:rsidRPr="00061A34">
        <w:rPr>
          <w:rFonts w:cstheme="minorHAnsi"/>
          <w:sz w:val="24"/>
          <w:szCs w:val="24"/>
          <w:lang w:val="fr-FR"/>
        </w:rPr>
        <w:t>établi</w:t>
      </w:r>
      <w:r w:rsidR="00061A34">
        <w:rPr>
          <w:rFonts w:cstheme="minorHAnsi"/>
          <w:sz w:val="24"/>
          <w:szCs w:val="24"/>
          <w:lang w:val="fr-FR"/>
        </w:rPr>
        <w:t>.</w:t>
      </w:r>
    </w:p>
    <w:p w:rsidR="00525FD7" w:rsidRPr="00061A34" w:rsidRDefault="00525FD7" w:rsidP="00061A34">
      <w:pPr>
        <w:pStyle w:val="ListParagraph"/>
        <w:numPr>
          <w:ilvl w:val="0"/>
          <w:numId w:val="33"/>
        </w:numPr>
        <w:jc w:val="both"/>
        <w:rPr>
          <w:rFonts w:cstheme="minorHAnsi"/>
          <w:sz w:val="24"/>
          <w:szCs w:val="24"/>
          <w:lang w:val="fr-FR"/>
        </w:rPr>
      </w:pPr>
      <w:r w:rsidRPr="00061A34">
        <w:rPr>
          <w:rFonts w:cstheme="minorHAnsi"/>
          <w:sz w:val="24"/>
          <w:szCs w:val="24"/>
          <w:lang w:val="fr-FR"/>
        </w:rPr>
        <w:t xml:space="preserve">Fournir </w:t>
      </w:r>
      <w:r w:rsidR="00A46FF2">
        <w:rPr>
          <w:rFonts w:cstheme="minorHAnsi"/>
          <w:sz w:val="24"/>
          <w:szCs w:val="24"/>
          <w:lang w:val="fr-FR"/>
        </w:rPr>
        <w:t>à l’UCMIT/</w:t>
      </w:r>
      <w:r w:rsidRPr="00061A34">
        <w:rPr>
          <w:rFonts w:cstheme="minorHAnsi"/>
          <w:sz w:val="24"/>
          <w:szCs w:val="24"/>
          <w:lang w:val="fr-FR"/>
        </w:rPr>
        <w:t>PNCM une ventilation claire de l'échantillon de parties prenantes (bénéficiaires, personnel, donateurs, communauté) qui seront interrogés et demander l'appui du P</w:t>
      </w:r>
      <w:r w:rsidR="00A46FF2">
        <w:rPr>
          <w:rFonts w:cstheme="minorHAnsi"/>
          <w:sz w:val="24"/>
          <w:szCs w:val="24"/>
          <w:lang w:val="fr-FR"/>
        </w:rPr>
        <w:t xml:space="preserve">rogramme </w:t>
      </w:r>
      <w:r w:rsidRPr="00061A34">
        <w:rPr>
          <w:rFonts w:cstheme="minorHAnsi"/>
          <w:sz w:val="24"/>
          <w:szCs w:val="24"/>
          <w:lang w:val="fr-FR"/>
        </w:rPr>
        <w:t>pour fournir les coordonnées de ces parties prenantes</w:t>
      </w:r>
    </w:p>
    <w:p w:rsidR="00525FD7" w:rsidRPr="00061A34" w:rsidRDefault="00525FD7" w:rsidP="00061A34">
      <w:pPr>
        <w:pStyle w:val="ListParagraph"/>
        <w:numPr>
          <w:ilvl w:val="0"/>
          <w:numId w:val="33"/>
        </w:numPr>
        <w:jc w:val="both"/>
        <w:rPr>
          <w:rFonts w:cstheme="minorHAnsi"/>
          <w:sz w:val="24"/>
          <w:szCs w:val="24"/>
          <w:lang w:val="fr-FR"/>
        </w:rPr>
      </w:pPr>
      <w:r w:rsidRPr="00061A34">
        <w:rPr>
          <w:rFonts w:cstheme="minorHAnsi"/>
          <w:sz w:val="24"/>
          <w:szCs w:val="24"/>
          <w:lang w:val="fr-FR"/>
        </w:rPr>
        <w:t>Organiser</w:t>
      </w:r>
      <w:r w:rsidR="00061A34">
        <w:rPr>
          <w:rFonts w:cstheme="minorHAnsi"/>
          <w:sz w:val="24"/>
          <w:szCs w:val="24"/>
          <w:lang w:val="fr-FR"/>
        </w:rPr>
        <w:t xml:space="preserve"> l'équipe devant appuyer à </w:t>
      </w:r>
      <w:r w:rsidRPr="00061A34">
        <w:rPr>
          <w:rFonts w:cstheme="minorHAnsi"/>
          <w:sz w:val="24"/>
          <w:szCs w:val="24"/>
          <w:lang w:val="fr-FR"/>
        </w:rPr>
        <w:t xml:space="preserve"> collecte</w:t>
      </w:r>
      <w:r w:rsidR="00061A34">
        <w:rPr>
          <w:rFonts w:cstheme="minorHAnsi"/>
          <w:sz w:val="24"/>
          <w:szCs w:val="24"/>
          <w:lang w:val="fr-FR"/>
        </w:rPr>
        <w:t>r les</w:t>
      </w:r>
      <w:r w:rsidRPr="00061A34">
        <w:rPr>
          <w:rFonts w:cstheme="minorHAnsi"/>
          <w:sz w:val="24"/>
          <w:szCs w:val="24"/>
          <w:lang w:val="fr-FR"/>
        </w:rPr>
        <w:t xml:space="preserve"> données et </w:t>
      </w:r>
      <w:r w:rsidR="00061A34">
        <w:rPr>
          <w:rFonts w:cstheme="minorHAnsi"/>
          <w:sz w:val="24"/>
          <w:szCs w:val="24"/>
          <w:lang w:val="fr-FR"/>
        </w:rPr>
        <w:t xml:space="preserve">participer </w:t>
      </w:r>
      <w:r w:rsidRPr="00061A34">
        <w:rPr>
          <w:rFonts w:cstheme="minorHAnsi"/>
          <w:sz w:val="24"/>
          <w:szCs w:val="24"/>
          <w:lang w:val="fr-FR"/>
        </w:rPr>
        <w:t>aux activités de terrain</w:t>
      </w:r>
      <w:r w:rsidR="00061A34">
        <w:rPr>
          <w:rFonts w:cstheme="minorHAnsi"/>
          <w:sz w:val="24"/>
          <w:szCs w:val="24"/>
          <w:lang w:val="fr-FR"/>
        </w:rPr>
        <w:t> ;</w:t>
      </w:r>
      <w:r w:rsidRPr="00061A34">
        <w:rPr>
          <w:rFonts w:cstheme="minorHAnsi"/>
          <w:sz w:val="24"/>
          <w:szCs w:val="24"/>
          <w:lang w:val="fr-FR"/>
        </w:rPr>
        <w:t xml:space="preserve"> et fournir au P</w:t>
      </w:r>
      <w:r w:rsidR="00A46FF2">
        <w:rPr>
          <w:rFonts w:cstheme="minorHAnsi"/>
          <w:sz w:val="24"/>
          <w:szCs w:val="24"/>
          <w:lang w:val="fr-FR"/>
        </w:rPr>
        <w:t xml:space="preserve">rogramme </w:t>
      </w:r>
      <w:r w:rsidRPr="00061A34">
        <w:rPr>
          <w:rFonts w:cstheme="minorHAnsi"/>
          <w:sz w:val="24"/>
          <w:szCs w:val="24"/>
          <w:lang w:val="fr-FR"/>
        </w:rPr>
        <w:t xml:space="preserve"> les dispositions logi</w:t>
      </w:r>
      <w:r w:rsidR="00061A34">
        <w:rPr>
          <w:rFonts w:cstheme="minorHAnsi"/>
          <w:sz w:val="24"/>
          <w:szCs w:val="24"/>
          <w:lang w:val="fr-FR"/>
        </w:rPr>
        <w:t>stiques nécessaires à la réalisation de l</w:t>
      </w:r>
      <w:r w:rsidRPr="00061A34">
        <w:rPr>
          <w:rFonts w:cstheme="minorHAnsi"/>
          <w:sz w:val="24"/>
          <w:szCs w:val="24"/>
          <w:lang w:val="fr-FR"/>
        </w:rPr>
        <w:t>'évaluation</w:t>
      </w:r>
    </w:p>
    <w:p w:rsidR="00525FD7" w:rsidRDefault="00525FD7" w:rsidP="00061A34">
      <w:pPr>
        <w:pStyle w:val="ListParagraph"/>
        <w:numPr>
          <w:ilvl w:val="0"/>
          <w:numId w:val="33"/>
        </w:numPr>
        <w:jc w:val="both"/>
        <w:rPr>
          <w:rFonts w:cstheme="minorHAnsi"/>
          <w:sz w:val="24"/>
          <w:szCs w:val="24"/>
          <w:lang w:val="fr-FR"/>
        </w:rPr>
      </w:pPr>
      <w:r w:rsidRPr="00061A34">
        <w:rPr>
          <w:rFonts w:cstheme="minorHAnsi"/>
          <w:sz w:val="24"/>
          <w:szCs w:val="24"/>
          <w:lang w:val="fr-FR"/>
        </w:rPr>
        <w:t>Produire et présenter le rapport final des conclusions et recommandations au PNCM et aux parties prenantes</w:t>
      </w:r>
    </w:p>
    <w:p w:rsidR="00A46FF2" w:rsidRPr="00061A34" w:rsidRDefault="00A46FF2" w:rsidP="00A46FF2">
      <w:pPr>
        <w:pStyle w:val="ListParagraph"/>
        <w:jc w:val="both"/>
        <w:rPr>
          <w:rFonts w:cstheme="minorHAnsi"/>
          <w:sz w:val="24"/>
          <w:szCs w:val="24"/>
          <w:lang w:val="fr-FR"/>
        </w:rPr>
      </w:pPr>
    </w:p>
    <w:p w:rsidR="004B07F8" w:rsidRPr="00AC5483" w:rsidRDefault="004B07F8" w:rsidP="002B0BE7">
      <w:pPr>
        <w:pStyle w:val="ListParagraph"/>
        <w:numPr>
          <w:ilvl w:val="0"/>
          <w:numId w:val="1"/>
        </w:numPr>
        <w:jc w:val="both"/>
        <w:rPr>
          <w:b/>
          <w:sz w:val="24"/>
          <w:szCs w:val="24"/>
          <w:lang w:val="fr-FR"/>
        </w:rPr>
      </w:pPr>
      <w:r w:rsidRPr="00AC5483">
        <w:rPr>
          <w:b/>
          <w:sz w:val="24"/>
          <w:szCs w:val="24"/>
          <w:lang w:val="fr-FR"/>
        </w:rPr>
        <w:t>Durée de la consultation</w:t>
      </w:r>
    </w:p>
    <w:p w:rsidR="00D831BA" w:rsidRPr="00B845AE" w:rsidRDefault="003F40C6" w:rsidP="00B845AE">
      <w:pPr>
        <w:spacing w:after="0" w:line="240" w:lineRule="auto"/>
        <w:jc w:val="both"/>
        <w:rPr>
          <w:rFonts w:cstheme="minorHAnsi"/>
          <w:sz w:val="20"/>
          <w:szCs w:val="20"/>
          <w:lang w:val="fr-FR"/>
        </w:rPr>
      </w:pPr>
      <w:r>
        <w:rPr>
          <w:rFonts w:cstheme="minorHAnsi"/>
          <w:sz w:val="24"/>
          <w:szCs w:val="24"/>
          <w:lang w:val="fr-FR"/>
        </w:rPr>
        <w:t>Trois</w:t>
      </w:r>
      <w:r w:rsidR="00A02563" w:rsidRPr="00FD0702">
        <w:rPr>
          <w:rFonts w:cstheme="minorHAnsi"/>
          <w:sz w:val="24"/>
          <w:szCs w:val="24"/>
          <w:lang w:val="fr-FR"/>
        </w:rPr>
        <w:t xml:space="preserve"> mois </w:t>
      </w:r>
      <w:r>
        <w:rPr>
          <w:rFonts w:cstheme="minorHAnsi"/>
          <w:sz w:val="24"/>
          <w:szCs w:val="24"/>
          <w:lang w:val="fr-FR"/>
        </w:rPr>
        <w:t>à partir de la signature du contrat avec un rapport préliminaire avant le</w:t>
      </w:r>
      <w:r w:rsidR="00A02563" w:rsidRPr="00FD0702">
        <w:rPr>
          <w:rFonts w:cstheme="minorHAnsi"/>
          <w:sz w:val="24"/>
          <w:szCs w:val="24"/>
          <w:lang w:val="fr-FR"/>
        </w:rPr>
        <w:t xml:space="preserve"> au 31 Décembre 2021. </w:t>
      </w:r>
    </w:p>
    <w:p w:rsidR="00C14A57" w:rsidRDefault="00C14A57" w:rsidP="002B0BE7">
      <w:pPr>
        <w:jc w:val="both"/>
        <w:rPr>
          <w:lang w:val="fr-FR"/>
        </w:rPr>
      </w:pPr>
    </w:p>
    <w:p w:rsidR="00AE7251" w:rsidRPr="00402C13" w:rsidRDefault="00E45B74" w:rsidP="002B0BE7">
      <w:pPr>
        <w:pStyle w:val="ListParagraph"/>
        <w:numPr>
          <w:ilvl w:val="0"/>
          <w:numId w:val="1"/>
        </w:numPr>
        <w:jc w:val="both"/>
        <w:rPr>
          <w:rFonts w:cstheme="minorHAnsi"/>
          <w:b/>
          <w:sz w:val="24"/>
          <w:szCs w:val="24"/>
          <w:lang w:val="fr-FR"/>
        </w:rPr>
      </w:pPr>
      <w:r w:rsidRPr="00402C13">
        <w:rPr>
          <w:rFonts w:cstheme="minorHAnsi"/>
          <w:b/>
          <w:sz w:val="24"/>
          <w:szCs w:val="24"/>
          <w:lang w:val="fr-FR"/>
        </w:rPr>
        <w:lastRenderedPageBreak/>
        <w:t>Livrables/ Extrants de la Consultation</w:t>
      </w:r>
    </w:p>
    <w:tbl>
      <w:tblPr>
        <w:tblStyle w:val="TableGrid"/>
        <w:tblW w:w="0" w:type="auto"/>
        <w:tblLook w:val="04A0" w:firstRow="1" w:lastRow="0" w:firstColumn="1" w:lastColumn="0" w:noHBand="0" w:noVBand="1"/>
      </w:tblPr>
      <w:tblGrid>
        <w:gridCol w:w="2879"/>
        <w:gridCol w:w="2720"/>
        <w:gridCol w:w="3751"/>
      </w:tblGrid>
      <w:tr w:rsidR="000756E2" w:rsidRPr="00CE79AD" w:rsidTr="000756E2">
        <w:tc>
          <w:tcPr>
            <w:tcW w:w="2879" w:type="dxa"/>
          </w:tcPr>
          <w:p w:rsidR="00F96512" w:rsidRPr="00522862" w:rsidRDefault="00F96512" w:rsidP="00E21D2B">
            <w:pPr>
              <w:jc w:val="both"/>
              <w:rPr>
                <w:rFonts w:ascii="Times New Roman" w:hAnsi="Times New Roman"/>
                <w:b/>
                <w:sz w:val="24"/>
                <w:szCs w:val="24"/>
                <w:lang w:val="fr-FR"/>
              </w:rPr>
            </w:pPr>
            <w:r w:rsidRPr="00522862">
              <w:rPr>
                <w:rFonts w:ascii="Times New Roman" w:hAnsi="Times New Roman"/>
                <w:b/>
                <w:sz w:val="24"/>
                <w:szCs w:val="24"/>
                <w:lang w:val="fr-FR"/>
              </w:rPr>
              <w:t>Livrables de la consultation</w:t>
            </w:r>
          </w:p>
        </w:tc>
        <w:tc>
          <w:tcPr>
            <w:tcW w:w="2720" w:type="dxa"/>
          </w:tcPr>
          <w:p w:rsidR="00F96512" w:rsidRPr="00522862" w:rsidRDefault="00F52220" w:rsidP="00E21D2B">
            <w:pPr>
              <w:jc w:val="both"/>
              <w:rPr>
                <w:rFonts w:ascii="Times New Roman" w:hAnsi="Times New Roman"/>
                <w:b/>
                <w:sz w:val="24"/>
                <w:szCs w:val="24"/>
                <w:lang w:val="fr-FR"/>
              </w:rPr>
            </w:pPr>
            <w:r>
              <w:rPr>
                <w:rFonts w:ascii="Times New Roman" w:hAnsi="Times New Roman"/>
                <w:b/>
                <w:sz w:val="24"/>
                <w:szCs w:val="24"/>
                <w:lang w:val="fr-FR"/>
              </w:rPr>
              <w:t>Période</w:t>
            </w:r>
          </w:p>
        </w:tc>
        <w:tc>
          <w:tcPr>
            <w:tcW w:w="3751" w:type="dxa"/>
          </w:tcPr>
          <w:p w:rsidR="00F96512" w:rsidRPr="00522862" w:rsidRDefault="00F96512" w:rsidP="00E21D2B">
            <w:pPr>
              <w:jc w:val="both"/>
              <w:rPr>
                <w:rFonts w:ascii="Times New Roman" w:hAnsi="Times New Roman"/>
                <w:b/>
                <w:sz w:val="24"/>
                <w:szCs w:val="24"/>
                <w:lang w:val="fr-FR"/>
              </w:rPr>
            </w:pPr>
            <w:r w:rsidRPr="00522862">
              <w:rPr>
                <w:rFonts w:ascii="Times New Roman" w:hAnsi="Times New Roman"/>
                <w:b/>
                <w:sz w:val="24"/>
                <w:szCs w:val="24"/>
                <w:lang w:val="fr-FR"/>
              </w:rPr>
              <w:t>Remarques</w:t>
            </w:r>
          </w:p>
        </w:tc>
      </w:tr>
      <w:tr w:rsidR="000756E2" w:rsidRPr="003F40C6" w:rsidTr="000756E2">
        <w:tc>
          <w:tcPr>
            <w:tcW w:w="2879" w:type="dxa"/>
          </w:tcPr>
          <w:p w:rsidR="00F96512" w:rsidRPr="00F52220" w:rsidRDefault="00F96512" w:rsidP="00F52220">
            <w:pPr>
              <w:rPr>
                <w:rFonts w:cstheme="minorHAnsi"/>
                <w:sz w:val="24"/>
                <w:szCs w:val="24"/>
                <w:lang w:val="fr-FR"/>
              </w:rPr>
            </w:pPr>
            <w:r w:rsidRPr="00F52220">
              <w:rPr>
                <w:rFonts w:cstheme="minorHAnsi"/>
                <w:sz w:val="24"/>
                <w:szCs w:val="24"/>
                <w:lang w:val="fr-FR"/>
              </w:rPr>
              <w:t xml:space="preserve">Effectuer une revue de littérature des documents du PNCM relatifs </w:t>
            </w:r>
            <w:r w:rsidR="00F52220" w:rsidRPr="00F52220">
              <w:rPr>
                <w:rFonts w:cstheme="minorHAnsi"/>
                <w:sz w:val="24"/>
                <w:szCs w:val="24"/>
                <w:lang w:val="fr-FR"/>
              </w:rPr>
              <w:t>à</w:t>
            </w:r>
            <w:r w:rsidRPr="00F52220">
              <w:rPr>
                <w:rFonts w:cstheme="minorHAnsi"/>
                <w:sz w:val="24"/>
                <w:szCs w:val="24"/>
                <w:lang w:val="fr-FR"/>
              </w:rPr>
              <w:t xml:space="preserve"> la Gestion de Gites Larvaires, y compris la note conceptuelle de la subvention du Fonds mondial et les commentaires du TRP, les directives LSM existantes, les procédures opérationnelles standard et la liste de contrôle de mise en œuvre sur le terrain</w:t>
            </w:r>
          </w:p>
        </w:tc>
        <w:tc>
          <w:tcPr>
            <w:tcW w:w="2720" w:type="dxa"/>
          </w:tcPr>
          <w:p w:rsidR="00F96512" w:rsidRPr="00F52220" w:rsidRDefault="00F96512" w:rsidP="00E21D2B">
            <w:pPr>
              <w:jc w:val="both"/>
              <w:rPr>
                <w:rFonts w:cstheme="minorHAnsi"/>
                <w:sz w:val="24"/>
                <w:szCs w:val="24"/>
                <w:lang w:val="fr-FR"/>
              </w:rPr>
            </w:pPr>
            <w:r w:rsidRPr="00F52220">
              <w:rPr>
                <w:rFonts w:cstheme="minorHAnsi"/>
                <w:sz w:val="24"/>
                <w:szCs w:val="24"/>
                <w:lang w:val="fr-FR"/>
              </w:rPr>
              <w:t xml:space="preserve">1ere semaine </w:t>
            </w:r>
            <w:r w:rsidR="00F52220" w:rsidRPr="00F52220">
              <w:rPr>
                <w:rFonts w:cstheme="minorHAnsi"/>
                <w:sz w:val="24"/>
                <w:szCs w:val="24"/>
                <w:lang w:val="fr-FR"/>
              </w:rPr>
              <w:t>après</w:t>
            </w:r>
            <w:r w:rsidRPr="00F52220">
              <w:rPr>
                <w:rFonts w:cstheme="minorHAnsi"/>
                <w:sz w:val="24"/>
                <w:szCs w:val="24"/>
                <w:lang w:val="fr-FR"/>
              </w:rPr>
              <w:t xml:space="preserve"> la signature du contrat </w:t>
            </w:r>
          </w:p>
        </w:tc>
        <w:tc>
          <w:tcPr>
            <w:tcW w:w="3751" w:type="dxa"/>
          </w:tcPr>
          <w:p w:rsidR="00F96512" w:rsidRPr="00F52220" w:rsidRDefault="00F52220" w:rsidP="00E21D2B">
            <w:pPr>
              <w:jc w:val="both"/>
              <w:rPr>
                <w:rFonts w:cstheme="minorHAnsi"/>
                <w:sz w:val="24"/>
                <w:szCs w:val="24"/>
                <w:lang w:val="fr-FR"/>
              </w:rPr>
            </w:pPr>
            <w:r w:rsidRPr="00F52220">
              <w:rPr>
                <w:rFonts w:cstheme="minorHAnsi"/>
                <w:sz w:val="24"/>
                <w:szCs w:val="24"/>
                <w:lang w:val="fr-FR"/>
              </w:rPr>
              <w:t>Présenter un rapport succinct de la revue de littérature au Coordonnateur du programme de Malaria du PNUD et coordonnateur du PNCM</w:t>
            </w:r>
          </w:p>
        </w:tc>
      </w:tr>
      <w:tr w:rsidR="000756E2" w:rsidRPr="003F40C6" w:rsidTr="000756E2">
        <w:tc>
          <w:tcPr>
            <w:tcW w:w="2879" w:type="dxa"/>
          </w:tcPr>
          <w:p w:rsidR="00F96512" w:rsidRPr="00F52220" w:rsidRDefault="006446D8" w:rsidP="00E21D2B">
            <w:pPr>
              <w:jc w:val="both"/>
              <w:rPr>
                <w:rFonts w:cstheme="minorHAnsi"/>
                <w:sz w:val="24"/>
                <w:szCs w:val="24"/>
                <w:lang w:val="fr-FR"/>
              </w:rPr>
            </w:pPr>
            <w:r w:rsidRPr="00F52220">
              <w:rPr>
                <w:rFonts w:cstheme="minorHAnsi"/>
                <w:sz w:val="24"/>
                <w:szCs w:val="24"/>
                <w:lang w:val="fr-FR"/>
              </w:rPr>
              <w:t xml:space="preserve">Elaborer un plan de travail prenant en compte tous les </w:t>
            </w:r>
            <w:r w:rsidR="00F52220" w:rsidRPr="00F52220">
              <w:rPr>
                <w:rFonts w:cstheme="minorHAnsi"/>
                <w:sz w:val="24"/>
                <w:szCs w:val="24"/>
                <w:lang w:val="fr-FR"/>
              </w:rPr>
              <w:t>départements</w:t>
            </w:r>
            <w:r w:rsidRPr="00F52220">
              <w:rPr>
                <w:rFonts w:cstheme="minorHAnsi"/>
                <w:sz w:val="24"/>
                <w:szCs w:val="24"/>
                <w:lang w:val="fr-FR"/>
              </w:rPr>
              <w:t xml:space="preserve"> cibles par l’</w:t>
            </w:r>
            <w:r w:rsidR="00F52220" w:rsidRPr="00F52220">
              <w:rPr>
                <w:rFonts w:cstheme="minorHAnsi"/>
                <w:sz w:val="24"/>
                <w:szCs w:val="24"/>
                <w:lang w:val="fr-FR"/>
              </w:rPr>
              <w:t>étude</w:t>
            </w:r>
          </w:p>
        </w:tc>
        <w:tc>
          <w:tcPr>
            <w:tcW w:w="2720" w:type="dxa"/>
          </w:tcPr>
          <w:p w:rsidR="00F96512" w:rsidRPr="00F52220" w:rsidRDefault="006446D8" w:rsidP="00E21D2B">
            <w:pPr>
              <w:rPr>
                <w:rFonts w:cstheme="minorHAnsi"/>
                <w:sz w:val="24"/>
                <w:szCs w:val="24"/>
                <w:lang w:val="fr-FR"/>
              </w:rPr>
            </w:pPr>
            <w:r w:rsidRPr="00F52220">
              <w:rPr>
                <w:rFonts w:cstheme="minorHAnsi"/>
                <w:sz w:val="24"/>
                <w:szCs w:val="24"/>
                <w:lang w:val="fr-FR"/>
              </w:rPr>
              <w:t>2</w:t>
            </w:r>
            <w:r w:rsidRPr="00F52220">
              <w:rPr>
                <w:rFonts w:cstheme="minorHAnsi"/>
                <w:sz w:val="24"/>
                <w:szCs w:val="24"/>
                <w:vertAlign w:val="superscript"/>
                <w:lang w:val="fr-FR"/>
              </w:rPr>
              <w:t>e</w:t>
            </w:r>
            <w:r w:rsidRPr="00F52220">
              <w:rPr>
                <w:rFonts w:cstheme="minorHAnsi"/>
                <w:sz w:val="24"/>
                <w:szCs w:val="24"/>
                <w:lang w:val="fr-FR"/>
              </w:rPr>
              <w:t xml:space="preserve"> semaine </w:t>
            </w:r>
          </w:p>
        </w:tc>
        <w:tc>
          <w:tcPr>
            <w:tcW w:w="3751" w:type="dxa"/>
          </w:tcPr>
          <w:p w:rsidR="00F96512" w:rsidRPr="00F52220" w:rsidRDefault="006446D8" w:rsidP="00E21D2B">
            <w:pPr>
              <w:jc w:val="both"/>
              <w:rPr>
                <w:rFonts w:cstheme="minorHAnsi"/>
                <w:sz w:val="24"/>
                <w:szCs w:val="24"/>
                <w:lang w:val="fr-FR"/>
              </w:rPr>
            </w:pPr>
            <w:r w:rsidRPr="00F52220">
              <w:rPr>
                <w:rFonts w:cstheme="minorHAnsi"/>
                <w:sz w:val="24"/>
                <w:szCs w:val="24"/>
                <w:lang w:val="fr-FR"/>
              </w:rPr>
              <w:t xml:space="preserve">Ce plan doit </w:t>
            </w:r>
            <w:r w:rsidR="00F52220" w:rsidRPr="00F52220">
              <w:rPr>
                <w:rFonts w:cstheme="minorHAnsi"/>
                <w:sz w:val="24"/>
                <w:szCs w:val="24"/>
                <w:lang w:val="fr-FR"/>
              </w:rPr>
              <w:t>être</w:t>
            </w:r>
            <w:r w:rsidRPr="00F52220">
              <w:rPr>
                <w:rFonts w:cstheme="minorHAnsi"/>
                <w:sz w:val="24"/>
                <w:szCs w:val="24"/>
                <w:lang w:val="fr-FR"/>
              </w:rPr>
              <w:t xml:space="preserve"> </w:t>
            </w:r>
            <w:r w:rsidR="00F52220" w:rsidRPr="00F52220">
              <w:rPr>
                <w:rFonts w:cstheme="minorHAnsi"/>
                <w:sz w:val="24"/>
                <w:szCs w:val="24"/>
                <w:lang w:val="fr-FR"/>
              </w:rPr>
              <w:t>validé</w:t>
            </w:r>
            <w:r w:rsidRPr="00F52220">
              <w:rPr>
                <w:rFonts w:cstheme="minorHAnsi"/>
                <w:sz w:val="24"/>
                <w:szCs w:val="24"/>
                <w:lang w:val="fr-FR"/>
              </w:rPr>
              <w:t xml:space="preserve"> par PNCM</w:t>
            </w:r>
          </w:p>
        </w:tc>
      </w:tr>
      <w:tr w:rsidR="000756E2" w:rsidRPr="003F40C6" w:rsidTr="000756E2">
        <w:tc>
          <w:tcPr>
            <w:tcW w:w="2879" w:type="dxa"/>
          </w:tcPr>
          <w:p w:rsidR="00F96512" w:rsidRPr="00F52220" w:rsidRDefault="00F52220" w:rsidP="00E21D2B">
            <w:pPr>
              <w:jc w:val="both"/>
              <w:rPr>
                <w:rFonts w:cstheme="minorHAnsi"/>
                <w:sz w:val="24"/>
                <w:szCs w:val="24"/>
                <w:lang w:val="fr-FR"/>
              </w:rPr>
            </w:pPr>
            <w:r w:rsidRPr="00F52220">
              <w:rPr>
                <w:rFonts w:cstheme="minorHAnsi"/>
                <w:sz w:val="24"/>
                <w:szCs w:val="24"/>
                <w:lang w:val="fr-FR"/>
              </w:rPr>
              <w:t>Présenter</w:t>
            </w:r>
            <w:r w:rsidR="006446D8" w:rsidRPr="00F52220">
              <w:rPr>
                <w:rFonts w:cstheme="minorHAnsi"/>
                <w:sz w:val="24"/>
                <w:szCs w:val="24"/>
                <w:lang w:val="fr-FR"/>
              </w:rPr>
              <w:t xml:space="preserve"> des sessions d’orientation aux brigadiers pour les habiliter </w:t>
            </w:r>
            <w:r w:rsidRPr="00F52220">
              <w:rPr>
                <w:rFonts w:cstheme="minorHAnsi"/>
                <w:sz w:val="24"/>
                <w:szCs w:val="24"/>
                <w:lang w:val="fr-FR"/>
              </w:rPr>
              <w:t>à</w:t>
            </w:r>
            <w:r w:rsidR="006446D8" w:rsidRPr="00F52220">
              <w:rPr>
                <w:rFonts w:cstheme="minorHAnsi"/>
                <w:sz w:val="24"/>
                <w:szCs w:val="24"/>
                <w:lang w:val="fr-FR"/>
              </w:rPr>
              <w:t xml:space="preserve"> effectuer le traitement des gites et la collecte des données conformément au protocole</w:t>
            </w:r>
          </w:p>
        </w:tc>
        <w:tc>
          <w:tcPr>
            <w:tcW w:w="2720" w:type="dxa"/>
          </w:tcPr>
          <w:p w:rsidR="00F96512" w:rsidRPr="00F52220" w:rsidRDefault="006446D8" w:rsidP="00E21D2B">
            <w:pPr>
              <w:rPr>
                <w:rFonts w:cstheme="minorHAnsi"/>
                <w:sz w:val="24"/>
                <w:szCs w:val="24"/>
                <w:lang w:val="fr-FR"/>
              </w:rPr>
            </w:pPr>
            <w:r w:rsidRPr="00F52220">
              <w:rPr>
                <w:rFonts w:cstheme="minorHAnsi"/>
                <w:sz w:val="24"/>
                <w:szCs w:val="24"/>
                <w:lang w:val="fr-FR"/>
              </w:rPr>
              <w:t>3</w:t>
            </w:r>
            <w:r w:rsidRPr="00F52220">
              <w:rPr>
                <w:rFonts w:cstheme="minorHAnsi"/>
                <w:sz w:val="24"/>
                <w:szCs w:val="24"/>
                <w:vertAlign w:val="superscript"/>
                <w:lang w:val="fr-FR"/>
              </w:rPr>
              <w:t>e</w:t>
            </w:r>
            <w:r w:rsidRPr="00F52220">
              <w:rPr>
                <w:rFonts w:cstheme="minorHAnsi"/>
                <w:sz w:val="24"/>
                <w:szCs w:val="24"/>
                <w:lang w:val="fr-FR"/>
              </w:rPr>
              <w:t xml:space="preserve"> semaine</w:t>
            </w:r>
          </w:p>
        </w:tc>
        <w:tc>
          <w:tcPr>
            <w:tcW w:w="3751" w:type="dxa"/>
          </w:tcPr>
          <w:p w:rsidR="00F96512" w:rsidRPr="00F52220" w:rsidRDefault="006446D8" w:rsidP="00E21D2B">
            <w:pPr>
              <w:jc w:val="both"/>
              <w:rPr>
                <w:rFonts w:cstheme="minorHAnsi"/>
                <w:sz w:val="24"/>
                <w:szCs w:val="24"/>
                <w:lang w:val="fr-FR"/>
              </w:rPr>
            </w:pPr>
            <w:r w:rsidRPr="00F52220">
              <w:rPr>
                <w:rFonts w:cstheme="minorHAnsi"/>
                <w:i/>
                <w:iCs/>
                <w:sz w:val="24"/>
                <w:szCs w:val="24"/>
                <w:lang w:val="fr-FR"/>
              </w:rPr>
              <w:t>Le contenu des sessions de formation est soumis au PNCM et PNUD </w:t>
            </w:r>
          </w:p>
        </w:tc>
      </w:tr>
      <w:tr w:rsidR="000756E2" w:rsidRPr="003F40C6" w:rsidTr="000756E2">
        <w:tc>
          <w:tcPr>
            <w:tcW w:w="2879" w:type="dxa"/>
          </w:tcPr>
          <w:p w:rsidR="00F96512" w:rsidRPr="00F52220" w:rsidRDefault="00015C80" w:rsidP="00E21D2B">
            <w:pPr>
              <w:jc w:val="both"/>
              <w:rPr>
                <w:rFonts w:cstheme="minorHAnsi"/>
                <w:sz w:val="24"/>
                <w:szCs w:val="24"/>
                <w:lang w:val="fr-FR"/>
              </w:rPr>
            </w:pPr>
            <w:r w:rsidRPr="00F52220">
              <w:rPr>
                <w:rFonts w:cstheme="minorHAnsi"/>
                <w:sz w:val="24"/>
                <w:szCs w:val="24"/>
                <w:lang w:val="fr-FR"/>
              </w:rPr>
              <w:t xml:space="preserve">Offrir un accompagnement aux brigadiers dans la collecte des </w:t>
            </w:r>
            <w:r w:rsidR="00F52220" w:rsidRPr="00F52220">
              <w:rPr>
                <w:rFonts w:cstheme="minorHAnsi"/>
                <w:sz w:val="24"/>
                <w:szCs w:val="24"/>
                <w:lang w:val="fr-FR"/>
              </w:rPr>
              <w:t>données</w:t>
            </w:r>
            <w:r w:rsidRPr="00F52220">
              <w:rPr>
                <w:rFonts w:cstheme="minorHAnsi"/>
                <w:sz w:val="24"/>
                <w:szCs w:val="24"/>
                <w:lang w:val="fr-FR"/>
              </w:rPr>
              <w:t xml:space="preserve">  </w:t>
            </w:r>
          </w:p>
        </w:tc>
        <w:tc>
          <w:tcPr>
            <w:tcW w:w="2720" w:type="dxa"/>
          </w:tcPr>
          <w:p w:rsidR="00F96512" w:rsidRPr="00F52220" w:rsidRDefault="00015C80" w:rsidP="00E21D2B">
            <w:pPr>
              <w:rPr>
                <w:rFonts w:cstheme="minorHAnsi"/>
                <w:sz w:val="24"/>
                <w:szCs w:val="24"/>
                <w:lang w:val="fr-FR"/>
              </w:rPr>
            </w:pPr>
            <w:r w:rsidRPr="00F52220">
              <w:rPr>
                <w:rFonts w:cstheme="minorHAnsi"/>
                <w:sz w:val="24"/>
                <w:szCs w:val="24"/>
                <w:lang w:val="fr-FR"/>
              </w:rPr>
              <w:t xml:space="preserve"> (pendant toute la durée de la consultation)</w:t>
            </w:r>
          </w:p>
        </w:tc>
        <w:tc>
          <w:tcPr>
            <w:tcW w:w="3751" w:type="dxa"/>
          </w:tcPr>
          <w:p w:rsidR="00F96512" w:rsidRPr="00F52220" w:rsidRDefault="00F96512" w:rsidP="00E21D2B">
            <w:pPr>
              <w:jc w:val="both"/>
              <w:rPr>
                <w:rFonts w:cstheme="minorHAnsi"/>
                <w:sz w:val="24"/>
                <w:szCs w:val="24"/>
                <w:lang w:val="fr-FR"/>
              </w:rPr>
            </w:pPr>
          </w:p>
        </w:tc>
      </w:tr>
      <w:tr w:rsidR="000756E2" w:rsidRPr="003F40C6" w:rsidTr="000756E2">
        <w:tc>
          <w:tcPr>
            <w:tcW w:w="2879" w:type="dxa"/>
          </w:tcPr>
          <w:p w:rsidR="00F96512" w:rsidRPr="00F52220" w:rsidRDefault="00015C80" w:rsidP="00E21D2B">
            <w:pPr>
              <w:jc w:val="both"/>
              <w:rPr>
                <w:rFonts w:cstheme="minorHAnsi"/>
                <w:sz w:val="24"/>
                <w:szCs w:val="24"/>
                <w:lang w:val="fr-FR"/>
              </w:rPr>
            </w:pPr>
            <w:r w:rsidRPr="00F52220">
              <w:rPr>
                <w:rFonts w:cstheme="minorHAnsi"/>
                <w:iCs/>
                <w:sz w:val="24"/>
                <w:szCs w:val="24"/>
                <w:lang w:val="fr-FR"/>
              </w:rPr>
              <w:t>Soumettre les Rapport hebdomadaires d’activités réalisées par les brigadiers par département</w:t>
            </w:r>
          </w:p>
        </w:tc>
        <w:tc>
          <w:tcPr>
            <w:tcW w:w="2720" w:type="dxa"/>
          </w:tcPr>
          <w:p w:rsidR="00F96512" w:rsidRPr="00F52220" w:rsidRDefault="00015C80" w:rsidP="00E21D2B">
            <w:pPr>
              <w:jc w:val="both"/>
              <w:rPr>
                <w:rFonts w:cstheme="minorHAnsi"/>
                <w:sz w:val="24"/>
                <w:szCs w:val="24"/>
                <w:lang w:val="fr-FR"/>
              </w:rPr>
            </w:pPr>
            <w:r w:rsidRPr="00F52220">
              <w:rPr>
                <w:rFonts w:cstheme="minorHAnsi"/>
                <w:sz w:val="24"/>
                <w:szCs w:val="24"/>
                <w:lang w:val="fr-FR"/>
              </w:rPr>
              <w:t>Pendant toute durée  de la consultation</w:t>
            </w:r>
          </w:p>
        </w:tc>
        <w:tc>
          <w:tcPr>
            <w:tcW w:w="3751" w:type="dxa"/>
          </w:tcPr>
          <w:p w:rsidR="00F96512" w:rsidRPr="00F52220" w:rsidRDefault="00015C80" w:rsidP="00E21D2B">
            <w:pPr>
              <w:jc w:val="both"/>
              <w:rPr>
                <w:rFonts w:cstheme="minorHAnsi"/>
                <w:sz w:val="24"/>
                <w:szCs w:val="24"/>
                <w:lang w:val="fr-FR"/>
              </w:rPr>
            </w:pPr>
            <w:r w:rsidRPr="00F52220">
              <w:rPr>
                <w:rFonts w:cstheme="minorHAnsi"/>
                <w:sz w:val="24"/>
                <w:szCs w:val="24"/>
                <w:lang w:val="fr-FR"/>
              </w:rPr>
              <w:t>Revu et approuve par le coordonnateur du PNCM</w:t>
            </w:r>
          </w:p>
        </w:tc>
      </w:tr>
      <w:tr w:rsidR="000756E2" w:rsidRPr="003F40C6" w:rsidTr="000756E2">
        <w:tc>
          <w:tcPr>
            <w:tcW w:w="2879" w:type="dxa"/>
          </w:tcPr>
          <w:p w:rsidR="00F96512" w:rsidRPr="00F52220" w:rsidRDefault="00ED5B57" w:rsidP="00E21D2B">
            <w:pPr>
              <w:jc w:val="both"/>
              <w:rPr>
                <w:rFonts w:cstheme="minorHAnsi"/>
                <w:sz w:val="24"/>
                <w:szCs w:val="24"/>
                <w:lang w:val="fr-FR"/>
              </w:rPr>
            </w:pPr>
            <w:r w:rsidRPr="00F52220">
              <w:rPr>
                <w:rFonts w:cstheme="minorHAnsi"/>
                <w:sz w:val="24"/>
                <w:szCs w:val="24"/>
                <w:lang w:val="fr-FR"/>
              </w:rPr>
              <w:t xml:space="preserve">Elaborer et soumettre un rapport intermédiaire d’étude présentant les résultats initiaux  </w:t>
            </w:r>
          </w:p>
        </w:tc>
        <w:tc>
          <w:tcPr>
            <w:tcW w:w="2720" w:type="dxa"/>
          </w:tcPr>
          <w:p w:rsidR="00F96512" w:rsidRPr="00F52220" w:rsidRDefault="00ED5B57" w:rsidP="00E21D2B">
            <w:pPr>
              <w:jc w:val="both"/>
              <w:rPr>
                <w:rFonts w:cstheme="minorHAnsi"/>
                <w:sz w:val="24"/>
                <w:szCs w:val="24"/>
                <w:lang w:val="fr-FR"/>
              </w:rPr>
            </w:pPr>
            <w:r w:rsidRPr="00F52220">
              <w:rPr>
                <w:rFonts w:cstheme="minorHAnsi"/>
                <w:sz w:val="24"/>
                <w:szCs w:val="24"/>
                <w:lang w:val="fr-FR"/>
              </w:rPr>
              <w:t>3 mois et demi après le démarrage de la consultation</w:t>
            </w:r>
          </w:p>
        </w:tc>
        <w:tc>
          <w:tcPr>
            <w:tcW w:w="3751" w:type="dxa"/>
          </w:tcPr>
          <w:p w:rsidR="00F96512" w:rsidRPr="00F52220" w:rsidRDefault="00EC245C" w:rsidP="00E21D2B">
            <w:pPr>
              <w:jc w:val="both"/>
              <w:rPr>
                <w:rFonts w:cstheme="minorHAnsi"/>
                <w:sz w:val="24"/>
                <w:szCs w:val="24"/>
                <w:lang w:val="fr-FR"/>
              </w:rPr>
            </w:pPr>
            <w:r w:rsidRPr="00F52220">
              <w:rPr>
                <w:rFonts w:cstheme="minorHAnsi"/>
                <w:bCs/>
                <w:sz w:val="24"/>
                <w:szCs w:val="24"/>
                <w:lang w:val="fr-FR"/>
              </w:rPr>
              <w:t>Ce rapport constituera un rapport intermédiaire pour l’</w:t>
            </w:r>
            <w:r w:rsidR="00F52220" w:rsidRPr="00F52220">
              <w:rPr>
                <w:rFonts w:cstheme="minorHAnsi"/>
                <w:bCs/>
                <w:sz w:val="24"/>
                <w:szCs w:val="24"/>
                <w:lang w:val="fr-FR"/>
              </w:rPr>
              <w:t>étude</w:t>
            </w:r>
            <w:r w:rsidRPr="00F52220">
              <w:rPr>
                <w:rFonts w:cstheme="minorHAnsi"/>
                <w:bCs/>
                <w:sz w:val="24"/>
                <w:szCs w:val="24"/>
                <w:lang w:val="fr-FR"/>
              </w:rPr>
              <w:t xml:space="preserve"> mais sera le rapport du consultant</w:t>
            </w:r>
          </w:p>
        </w:tc>
      </w:tr>
    </w:tbl>
    <w:p w:rsidR="00EA6CD0" w:rsidRPr="00F96512" w:rsidRDefault="00EA6CD0" w:rsidP="00F96512">
      <w:pPr>
        <w:jc w:val="both"/>
        <w:rPr>
          <w:sz w:val="24"/>
          <w:szCs w:val="24"/>
          <w:lang w:val="fr-FR"/>
        </w:rPr>
      </w:pPr>
    </w:p>
    <w:p w:rsidR="00B845AE" w:rsidRPr="00EA6CD0" w:rsidRDefault="00B845AE" w:rsidP="00EA6CD0">
      <w:pPr>
        <w:pStyle w:val="ListParagraph"/>
        <w:ind w:left="1080"/>
        <w:jc w:val="both"/>
        <w:rPr>
          <w:sz w:val="24"/>
          <w:szCs w:val="24"/>
          <w:lang w:val="fr-FR"/>
        </w:rPr>
      </w:pPr>
    </w:p>
    <w:p w:rsidR="003165C2" w:rsidRPr="008F174D" w:rsidRDefault="00E45B74" w:rsidP="002B0BE7">
      <w:pPr>
        <w:pStyle w:val="ListParagraph"/>
        <w:numPr>
          <w:ilvl w:val="0"/>
          <w:numId w:val="1"/>
        </w:numPr>
        <w:jc w:val="both"/>
        <w:rPr>
          <w:rFonts w:cstheme="minorHAnsi"/>
          <w:b/>
          <w:sz w:val="24"/>
          <w:szCs w:val="24"/>
          <w:lang w:val="fr-FR"/>
        </w:rPr>
      </w:pPr>
      <w:r w:rsidRPr="007519CB">
        <w:rPr>
          <w:rFonts w:cstheme="minorHAnsi"/>
          <w:b/>
          <w:sz w:val="24"/>
          <w:szCs w:val="24"/>
          <w:lang w:val="fr-FR"/>
        </w:rPr>
        <w:t>Profil du</w:t>
      </w:r>
      <w:r w:rsidR="008F174D">
        <w:rPr>
          <w:rFonts w:cstheme="minorHAnsi"/>
          <w:b/>
          <w:sz w:val="24"/>
          <w:szCs w:val="24"/>
          <w:lang w:val="fr-FR"/>
        </w:rPr>
        <w:t xml:space="preserve">/ de </w:t>
      </w:r>
      <w:r w:rsidR="00C14A57">
        <w:rPr>
          <w:rFonts w:cstheme="minorHAnsi"/>
          <w:b/>
          <w:sz w:val="24"/>
          <w:szCs w:val="24"/>
          <w:lang w:val="fr-FR"/>
        </w:rPr>
        <w:t xml:space="preserve">la </w:t>
      </w:r>
      <w:r w:rsidR="00C14A57" w:rsidRPr="007519CB">
        <w:rPr>
          <w:rFonts w:cstheme="minorHAnsi"/>
          <w:b/>
          <w:sz w:val="24"/>
          <w:szCs w:val="24"/>
          <w:lang w:val="fr-FR"/>
        </w:rPr>
        <w:t>Consultant</w:t>
      </w:r>
      <w:r w:rsidR="008F174D">
        <w:rPr>
          <w:rFonts w:cstheme="minorHAnsi"/>
          <w:b/>
          <w:sz w:val="24"/>
          <w:szCs w:val="24"/>
          <w:lang w:val="fr-FR"/>
        </w:rPr>
        <w:t>/e</w:t>
      </w:r>
    </w:p>
    <w:p w:rsidR="00EA6CD0" w:rsidRPr="00F52220" w:rsidRDefault="00A514DB" w:rsidP="00F52220">
      <w:pPr>
        <w:pStyle w:val="ListParagraph"/>
        <w:numPr>
          <w:ilvl w:val="0"/>
          <w:numId w:val="34"/>
        </w:numPr>
        <w:jc w:val="both"/>
        <w:rPr>
          <w:rFonts w:cstheme="minorHAnsi"/>
          <w:sz w:val="24"/>
          <w:szCs w:val="24"/>
          <w:lang w:val="fr-FR"/>
        </w:rPr>
      </w:pPr>
      <w:r w:rsidRPr="00F52220">
        <w:rPr>
          <w:rFonts w:cstheme="minorHAnsi"/>
          <w:sz w:val="24"/>
          <w:szCs w:val="24"/>
          <w:lang w:val="fr-FR"/>
        </w:rPr>
        <w:t>Détenir une maîtrise en entomologie, lutte antivectorielle, épidémiologie, santé mondiale, évaluation des programmes de lutte contre les maladies ou tout autre domaine pertinent</w:t>
      </w:r>
    </w:p>
    <w:p w:rsidR="00A514DB" w:rsidRPr="00F52220" w:rsidRDefault="00A514DB" w:rsidP="00F52220">
      <w:pPr>
        <w:pStyle w:val="ListParagraph"/>
        <w:numPr>
          <w:ilvl w:val="0"/>
          <w:numId w:val="34"/>
        </w:numPr>
        <w:jc w:val="both"/>
        <w:rPr>
          <w:rFonts w:cstheme="minorHAnsi"/>
          <w:sz w:val="24"/>
          <w:szCs w:val="24"/>
          <w:lang w:val="fr-FR"/>
        </w:rPr>
      </w:pPr>
      <w:r w:rsidRPr="00F52220">
        <w:rPr>
          <w:rFonts w:cstheme="minorHAnsi"/>
          <w:sz w:val="24"/>
          <w:szCs w:val="24"/>
          <w:lang w:val="fr-FR"/>
        </w:rPr>
        <w:t>Doit avoir au moins 5 ans d'expérience professionnelle dans les domaines de l'évaluation de programme et d'impact, de préférence dans les pays en développement en général et en Haïti en particulier</w:t>
      </w:r>
    </w:p>
    <w:p w:rsidR="00A514DB" w:rsidRPr="00F52220" w:rsidRDefault="00A514DB" w:rsidP="00F52220">
      <w:pPr>
        <w:pStyle w:val="ListParagraph"/>
        <w:numPr>
          <w:ilvl w:val="0"/>
          <w:numId w:val="34"/>
        </w:numPr>
        <w:jc w:val="both"/>
        <w:rPr>
          <w:rFonts w:cstheme="minorHAnsi"/>
          <w:sz w:val="24"/>
          <w:szCs w:val="24"/>
          <w:lang w:val="fr-FR"/>
        </w:rPr>
      </w:pPr>
      <w:r w:rsidRPr="00F52220">
        <w:rPr>
          <w:rFonts w:cstheme="minorHAnsi"/>
          <w:sz w:val="24"/>
          <w:szCs w:val="24"/>
          <w:lang w:val="fr-FR"/>
        </w:rPr>
        <w:t>De vastes compétences conceptuelles et méthodologiques et une expérience dans l'application de méthodes d'évaluation de recherche qualitative et quantitative dans les programmes d'entomologie et de lutte antivectorielle</w:t>
      </w:r>
    </w:p>
    <w:p w:rsidR="00A514DB" w:rsidRPr="00F52220" w:rsidRDefault="00E26D68" w:rsidP="00F52220">
      <w:pPr>
        <w:pStyle w:val="ListParagraph"/>
        <w:numPr>
          <w:ilvl w:val="0"/>
          <w:numId w:val="34"/>
        </w:numPr>
        <w:jc w:val="both"/>
        <w:rPr>
          <w:rFonts w:cstheme="minorHAnsi"/>
          <w:sz w:val="24"/>
          <w:szCs w:val="24"/>
          <w:lang w:val="fr-FR"/>
        </w:rPr>
      </w:pPr>
      <w:r w:rsidRPr="00F52220">
        <w:rPr>
          <w:rFonts w:cstheme="minorHAnsi"/>
          <w:sz w:val="24"/>
          <w:szCs w:val="24"/>
          <w:lang w:val="fr-FR"/>
        </w:rPr>
        <w:t xml:space="preserve">Expérience dans </w:t>
      </w:r>
      <w:r w:rsidR="00A514DB" w:rsidRPr="00F52220">
        <w:rPr>
          <w:rFonts w:cstheme="minorHAnsi"/>
          <w:sz w:val="24"/>
          <w:szCs w:val="24"/>
          <w:lang w:val="fr-FR"/>
        </w:rPr>
        <w:t xml:space="preserve"> l'utilisation d'outils</w:t>
      </w:r>
      <w:r w:rsidRPr="00F52220">
        <w:rPr>
          <w:rFonts w:cstheme="minorHAnsi"/>
          <w:sz w:val="24"/>
          <w:szCs w:val="24"/>
          <w:lang w:val="fr-FR"/>
        </w:rPr>
        <w:t xml:space="preserve"> ou de</w:t>
      </w:r>
      <w:r w:rsidR="00A514DB" w:rsidRPr="00F52220">
        <w:rPr>
          <w:rFonts w:cstheme="minorHAnsi"/>
          <w:sz w:val="24"/>
          <w:szCs w:val="24"/>
          <w:lang w:val="fr-FR"/>
        </w:rPr>
        <w:t xml:space="preserve"> logiciels d'analyse de données quantitatives et qualitatives;</w:t>
      </w:r>
    </w:p>
    <w:p w:rsidR="00A514DB" w:rsidRPr="00F52220" w:rsidRDefault="00A514DB" w:rsidP="00F52220">
      <w:pPr>
        <w:pStyle w:val="ListParagraph"/>
        <w:numPr>
          <w:ilvl w:val="0"/>
          <w:numId w:val="34"/>
        </w:numPr>
        <w:jc w:val="both"/>
        <w:rPr>
          <w:rFonts w:cstheme="minorHAnsi"/>
          <w:sz w:val="24"/>
          <w:szCs w:val="24"/>
          <w:lang w:val="fr-FR"/>
        </w:rPr>
      </w:pPr>
      <w:r w:rsidRPr="00F52220">
        <w:rPr>
          <w:rFonts w:cstheme="minorHAnsi"/>
          <w:sz w:val="24"/>
          <w:szCs w:val="24"/>
          <w:lang w:val="fr-FR"/>
        </w:rPr>
        <w:t>Ex</w:t>
      </w:r>
      <w:r w:rsidR="00E26D68" w:rsidRPr="00F52220">
        <w:rPr>
          <w:rFonts w:cstheme="minorHAnsi"/>
          <w:sz w:val="24"/>
          <w:szCs w:val="24"/>
          <w:lang w:val="fr-FR"/>
        </w:rPr>
        <w:t>périence dans la facilitation ou dans</w:t>
      </w:r>
      <w:r w:rsidRPr="00F52220">
        <w:rPr>
          <w:rFonts w:cstheme="minorHAnsi"/>
          <w:sz w:val="24"/>
          <w:szCs w:val="24"/>
          <w:lang w:val="fr-FR"/>
        </w:rPr>
        <w:t xml:space="preserve"> la participation à des </w:t>
      </w:r>
      <w:r w:rsidR="00E26D68" w:rsidRPr="00F52220">
        <w:rPr>
          <w:rFonts w:cstheme="minorHAnsi"/>
          <w:sz w:val="24"/>
          <w:szCs w:val="24"/>
          <w:lang w:val="fr-FR"/>
        </w:rPr>
        <w:t xml:space="preserve">focus-groupes, dans la communication ou coordination avec différentes parties prenantes </w:t>
      </w:r>
    </w:p>
    <w:p w:rsidR="00A514DB" w:rsidRPr="00F52220" w:rsidRDefault="00A514DB" w:rsidP="00F52220">
      <w:pPr>
        <w:pStyle w:val="ListParagraph"/>
        <w:numPr>
          <w:ilvl w:val="0"/>
          <w:numId w:val="34"/>
        </w:numPr>
        <w:jc w:val="both"/>
        <w:rPr>
          <w:rFonts w:cstheme="minorHAnsi"/>
          <w:sz w:val="24"/>
          <w:szCs w:val="24"/>
          <w:lang w:val="fr-FR"/>
        </w:rPr>
      </w:pPr>
      <w:r w:rsidRPr="00F52220">
        <w:rPr>
          <w:rFonts w:cstheme="minorHAnsi"/>
          <w:sz w:val="24"/>
          <w:szCs w:val="24"/>
          <w:lang w:val="fr-FR"/>
        </w:rPr>
        <w:t>Maîtrise compl</w:t>
      </w:r>
      <w:r w:rsidR="00E26D68" w:rsidRPr="00F52220">
        <w:rPr>
          <w:rFonts w:cstheme="minorHAnsi"/>
          <w:sz w:val="24"/>
          <w:szCs w:val="24"/>
          <w:lang w:val="fr-FR"/>
        </w:rPr>
        <w:t xml:space="preserve">ète du français et du créole est </w:t>
      </w:r>
      <w:r w:rsidR="00F52220" w:rsidRPr="00F52220">
        <w:rPr>
          <w:rFonts w:cstheme="minorHAnsi"/>
          <w:sz w:val="24"/>
          <w:szCs w:val="24"/>
          <w:lang w:val="fr-FR"/>
        </w:rPr>
        <w:t>nécessaire</w:t>
      </w:r>
    </w:p>
    <w:p w:rsidR="00A514DB" w:rsidRPr="00F52220" w:rsidRDefault="00A514DB" w:rsidP="00F52220">
      <w:pPr>
        <w:pStyle w:val="ListParagraph"/>
        <w:ind w:left="0"/>
        <w:jc w:val="both"/>
        <w:rPr>
          <w:rFonts w:cstheme="minorHAnsi"/>
          <w:sz w:val="24"/>
          <w:szCs w:val="24"/>
          <w:lang w:val="fr-FR"/>
        </w:rPr>
      </w:pPr>
    </w:p>
    <w:p w:rsidR="00A514DB" w:rsidRPr="00A514DB" w:rsidRDefault="00A514DB" w:rsidP="00A514DB">
      <w:pPr>
        <w:pStyle w:val="ListParagraph"/>
        <w:jc w:val="both"/>
        <w:rPr>
          <w:rFonts w:cstheme="minorHAnsi"/>
          <w:sz w:val="20"/>
          <w:szCs w:val="20"/>
          <w:lang w:val="fr-FR"/>
        </w:rPr>
      </w:pPr>
    </w:p>
    <w:p w:rsidR="00E45B74" w:rsidRPr="008F174D" w:rsidRDefault="00203F37" w:rsidP="002B0BE7">
      <w:pPr>
        <w:pStyle w:val="ListParagraph"/>
        <w:numPr>
          <w:ilvl w:val="0"/>
          <w:numId w:val="1"/>
        </w:numPr>
        <w:jc w:val="both"/>
        <w:rPr>
          <w:b/>
          <w:sz w:val="24"/>
          <w:szCs w:val="24"/>
          <w:lang w:val="fr-FR"/>
        </w:rPr>
      </w:pPr>
      <w:r w:rsidRPr="008F174D">
        <w:rPr>
          <w:b/>
          <w:sz w:val="24"/>
          <w:szCs w:val="24"/>
          <w:lang w:val="fr-FR"/>
        </w:rPr>
        <w:t>Conditions de travail</w:t>
      </w:r>
    </w:p>
    <w:p w:rsidR="00E31EB2" w:rsidRPr="002B6DC4" w:rsidRDefault="00A20629" w:rsidP="002B0BE7">
      <w:pPr>
        <w:pStyle w:val="ListParagraph"/>
        <w:numPr>
          <w:ilvl w:val="0"/>
          <w:numId w:val="15"/>
        </w:numPr>
        <w:jc w:val="both"/>
        <w:rPr>
          <w:sz w:val="24"/>
          <w:szCs w:val="24"/>
          <w:lang w:val="fr-FR"/>
        </w:rPr>
      </w:pPr>
      <w:r w:rsidRPr="002B6DC4">
        <w:rPr>
          <w:sz w:val="24"/>
          <w:szCs w:val="24"/>
          <w:lang w:val="fr-FR"/>
        </w:rPr>
        <w:t>Travailler</w:t>
      </w:r>
      <w:r w:rsidR="00E31EB2" w:rsidRPr="002B6DC4">
        <w:rPr>
          <w:sz w:val="24"/>
          <w:szCs w:val="24"/>
          <w:lang w:val="fr-FR"/>
        </w:rPr>
        <w:t xml:space="preserve"> sous</w:t>
      </w:r>
      <w:r w:rsidR="009172AA" w:rsidRPr="002B6DC4">
        <w:rPr>
          <w:sz w:val="24"/>
          <w:szCs w:val="24"/>
          <w:lang w:val="fr-FR"/>
        </w:rPr>
        <w:t xml:space="preserve"> la supervision du coordonnateur du programme de Malaria de PNUD</w:t>
      </w:r>
      <w:r w:rsidR="00E433D8" w:rsidRPr="002B6DC4">
        <w:rPr>
          <w:sz w:val="24"/>
          <w:szCs w:val="24"/>
          <w:lang w:val="fr-FR"/>
        </w:rPr>
        <w:t xml:space="preserve"> </w:t>
      </w:r>
    </w:p>
    <w:p w:rsidR="00A20629" w:rsidRPr="002B6DC4" w:rsidRDefault="00A20629" w:rsidP="00A20629">
      <w:pPr>
        <w:numPr>
          <w:ilvl w:val="0"/>
          <w:numId w:val="15"/>
        </w:numPr>
        <w:spacing w:after="0" w:line="240" w:lineRule="auto"/>
        <w:jc w:val="both"/>
        <w:rPr>
          <w:rFonts w:cstheme="minorHAnsi"/>
          <w:sz w:val="24"/>
          <w:szCs w:val="24"/>
          <w:lang w:val="fr-FR"/>
        </w:rPr>
      </w:pPr>
      <w:r w:rsidRPr="002B6DC4">
        <w:rPr>
          <w:rFonts w:cstheme="minorHAnsi"/>
          <w:sz w:val="24"/>
          <w:szCs w:val="24"/>
          <w:lang w:val="fr-FR"/>
        </w:rPr>
        <w:t xml:space="preserve">Avoir des rencontres </w:t>
      </w:r>
      <w:r w:rsidR="004F6630" w:rsidRPr="002B6DC4">
        <w:rPr>
          <w:rFonts w:cstheme="minorHAnsi"/>
          <w:sz w:val="24"/>
          <w:szCs w:val="24"/>
          <w:lang w:val="fr-FR"/>
        </w:rPr>
        <w:t>bihebdomadaires</w:t>
      </w:r>
      <w:r w:rsidRPr="002B6DC4">
        <w:rPr>
          <w:rFonts w:cstheme="minorHAnsi"/>
          <w:sz w:val="24"/>
          <w:szCs w:val="24"/>
          <w:lang w:val="fr-FR"/>
        </w:rPr>
        <w:t xml:space="preserve"> pour discuter de l’état d’</w:t>
      </w:r>
      <w:r w:rsidR="004F6630" w:rsidRPr="002B6DC4">
        <w:rPr>
          <w:rFonts w:cstheme="minorHAnsi"/>
          <w:sz w:val="24"/>
          <w:szCs w:val="24"/>
          <w:lang w:val="fr-FR"/>
        </w:rPr>
        <w:t>avancement</w:t>
      </w:r>
      <w:r w:rsidRPr="002B6DC4">
        <w:rPr>
          <w:rFonts w:cstheme="minorHAnsi"/>
          <w:sz w:val="24"/>
          <w:szCs w:val="24"/>
          <w:lang w:val="fr-FR"/>
        </w:rPr>
        <w:t xml:space="preserve"> de la consultation</w:t>
      </w:r>
    </w:p>
    <w:p w:rsidR="00A20629" w:rsidRPr="002B6DC4" w:rsidRDefault="00A20629" w:rsidP="00A20629">
      <w:pPr>
        <w:numPr>
          <w:ilvl w:val="0"/>
          <w:numId w:val="15"/>
        </w:numPr>
        <w:spacing w:after="0" w:line="240" w:lineRule="auto"/>
        <w:jc w:val="both"/>
        <w:rPr>
          <w:rFonts w:cstheme="minorHAnsi"/>
          <w:sz w:val="24"/>
          <w:szCs w:val="24"/>
          <w:lang w:val="fr-FR"/>
        </w:rPr>
      </w:pPr>
      <w:r w:rsidRPr="002B6DC4">
        <w:rPr>
          <w:rFonts w:cstheme="minorHAnsi"/>
          <w:sz w:val="24"/>
          <w:szCs w:val="24"/>
          <w:lang w:val="fr-FR"/>
        </w:rPr>
        <w:t xml:space="preserve">Collaborer </w:t>
      </w:r>
      <w:r w:rsidR="004F6630" w:rsidRPr="002B6DC4">
        <w:rPr>
          <w:rFonts w:cstheme="minorHAnsi"/>
          <w:sz w:val="24"/>
          <w:szCs w:val="24"/>
          <w:lang w:val="fr-FR"/>
        </w:rPr>
        <w:t>étroitement</w:t>
      </w:r>
      <w:r w:rsidRPr="002B6DC4">
        <w:rPr>
          <w:rFonts w:cstheme="minorHAnsi"/>
          <w:sz w:val="24"/>
          <w:szCs w:val="24"/>
          <w:lang w:val="fr-FR"/>
        </w:rPr>
        <w:t xml:space="preserve"> avec des partenaires  importants comme  CHAI, PAHO, Directions Sanitaires Grande Anse et Sud</w:t>
      </w:r>
    </w:p>
    <w:p w:rsidR="004F6630" w:rsidRPr="002B6DC4" w:rsidRDefault="004F6630" w:rsidP="004F6630">
      <w:pPr>
        <w:numPr>
          <w:ilvl w:val="0"/>
          <w:numId w:val="15"/>
        </w:numPr>
        <w:spacing w:after="0" w:line="240" w:lineRule="auto"/>
        <w:jc w:val="both"/>
        <w:rPr>
          <w:rFonts w:cstheme="minorHAnsi"/>
          <w:sz w:val="24"/>
          <w:szCs w:val="24"/>
          <w:lang w:val="fr-FR"/>
        </w:rPr>
      </w:pPr>
      <w:r w:rsidRPr="002B6DC4">
        <w:rPr>
          <w:rFonts w:cstheme="minorHAnsi"/>
          <w:sz w:val="24"/>
          <w:szCs w:val="24"/>
          <w:lang w:val="fr-FR"/>
        </w:rPr>
        <w:t xml:space="preserve">La position sera basée dans la Grand-Anse </w:t>
      </w:r>
    </w:p>
    <w:p w:rsidR="004F6630" w:rsidRPr="002B6DC4" w:rsidRDefault="004F6630" w:rsidP="004813EB">
      <w:pPr>
        <w:spacing w:after="0" w:line="240" w:lineRule="auto"/>
        <w:jc w:val="both"/>
        <w:rPr>
          <w:rFonts w:cstheme="minorHAnsi"/>
          <w:sz w:val="24"/>
          <w:szCs w:val="24"/>
          <w:highlight w:val="yellow"/>
          <w:lang w:val="fr-FR"/>
        </w:rPr>
      </w:pPr>
    </w:p>
    <w:p w:rsidR="00A20629" w:rsidRPr="002B6DC4" w:rsidRDefault="00654B8A" w:rsidP="002B0BE7">
      <w:pPr>
        <w:pStyle w:val="ListParagraph"/>
        <w:numPr>
          <w:ilvl w:val="0"/>
          <w:numId w:val="15"/>
        </w:numPr>
        <w:jc w:val="both"/>
        <w:rPr>
          <w:sz w:val="24"/>
          <w:szCs w:val="24"/>
          <w:lang w:val="fr-FR"/>
        </w:rPr>
      </w:pPr>
      <w:r w:rsidRPr="002B6DC4">
        <w:rPr>
          <w:rFonts w:cstheme="minorHAnsi"/>
          <w:sz w:val="24"/>
          <w:szCs w:val="24"/>
          <w:lang w:val="fr-FR"/>
        </w:rPr>
        <w:t>Le transport du consultant vers les sites d’</w:t>
      </w:r>
      <w:r w:rsidR="004D7643" w:rsidRPr="002B6DC4">
        <w:rPr>
          <w:rFonts w:cstheme="minorHAnsi"/>
          <w:sz w:val="24"/>
          <w:szCs w:val="24"/>
          <w:lang w:val="fr-FR"/>
        </w:rPr>
        <w:t>exécution</w:t>
      </w:r>
      <w:r w:rsidR="004813EB" w:rsidRPr="002B6DC4">
        <w:rPr>
          <w:rFonts w:cstheme="minorHAnsi"/>
          <w:sz w:val="24"/>
          <w:szCs w:val="24"/>
          <w:lang w:val="fr-FR"/>
        </w:rPr>
        <w:t xml:space="preserve"> du projet  tandis  </w:t>
      </w:r>
      <w:r w:rsidR="004D7643" w:rsidRPr="002B6DC4">
        <w:rPr>
          <w:rFonts w:cstheme="minorHAnsi"/>
          <w:sz w:val="24"/>
          <w:szCs w:val="24"/>
          <w:lang w:val="fr-FR"/>
        </w:rPr>
        <w:t xml:space="preserve"> que les frais d’hébergement et de communication</w:t>
      </w:r>
      <w:r w:rsidR="004813EB" w:rsidRPr="002B6DC4">
        <w:rPr>
          <w:rFonts w:cstheme="minorHAnsi"/>
          <w:sz w:val="24"/>
          <w:szCs w:val="24"/>
          <w:lang w:val="fr-FR"/>
        </w:rPr>
        <w:t xml:space="preserve"> seront pris en compte dans les honoraires du consultant</w:t>
      </w:r>
      <w:r w:rsidR="002B6DC4" w:rsidRPr="002B6DC4">
        <w:rPr>
          <w:rFonts w:cstheme="minorHAnsi"/>
          <w:sz w:val="24"/>
          <w:szCs w:val="24"/>
          <w:lang w:val="fr-FR"/>
        </w:rPr>
        <w:t>.</w:t>
      </w:r>
    </w:p>
    <w:p w:rsidR="004D7643" w:rsidRPr="001B4E1C" w:rsidRDefault="00066D8B" w:rsidP="002B0BE7">
      <w:pPr>
        <w:pStyle w:val="ListParagraph"/>
        <w:numPr>
          <w:ilvl w:val="0"/>
          <w:numId w:val="15"/>
        </w:numPr>
        <w:jc w:val="both"/>
        <w:rPr>
          <w:sz w:val="24"/>
          <w:szCs w:val="24"/>
          <w:lang w:val="fr-FR"/>
        </w:rPr>
      </w:pPr>
      <w:r w:rsidRPr="002B6DC4">
        <w:rPr>
          <w:rFonts w:cstheme="minorHAnsi"/>
          <w:sz w:val="24"/>
          <w:szCs w:val="24"/>
          <w:lang w:val="fr-FR"/>
        </w:rPr>
        <w:t xml:space="preserve">Le consultant sera </w:t>
      </w:r>
      <w:r w:rsidR="002903ED" w:rsidRPr="002B6DC4">
        <w:rPr>
          <w:rFonts w:cstheme="minorHAnsi"/>
          <w:sz w:val="24"/>
          <w:szCs w:val="24"/>
          <w:lang w:val="fr-FR"/>
        </w:rPr>
        <w:t>rémunéré</w:t>
      </w:r>
      <w:r w:rsidRPr="002B6DC4">
        <w:rPr>
          <w:rFonts w:cstheme="minorHAnsi"/>
          <w:sz w:val="24"/>
          <w:szCs w:val="24"/>
          <w:lang w:val="fr-FR"/>
        </w:rPr>
        <w:t xml:space="preserve"> en gourdes </w:t>
      </w:r>
      <w:r w:rsidR="002903ED" w:rsidRPr="002B6DC4">
        <w:rPr>
          <w:rFonts w:cstheme="minorHAnsi"/>
          <w:sz w:val="24"/>
          <w:szCs w:val="24"/>
          <w:lang w:val="fr-FR"/>
        </w:rPr>
        <w:t>haïtiennes</w:t>
      </w:r>
      <w:r w:rsidRPr="002B6DC4">
        <w:rPr>
          <w:rFonts w:cstheme="minorHAnsi"/>
          <w:sz w:val="24"/>
          <w:szCs w:val="24"/>
          <w:lang w:val="fr-FR"/>
        </w:rPr>
        <w:t xml:space="preserve"> sur la base des montants </w:t>
      </w:r>
      <w:r w:rsidR="002903ED" w:rsidRPr="002B6DC4">
        <w:rPr>
          <w:rFonts w:cstheme="minorHAnsi"/>
          <w:sz w:val="24"/>
          <w:szCs w:val="24"/>
          <w:lang w:val="fr-FR"/>
        </w:rPr>
        <w:t>journaliers tout inclusif soumis par le consultant et accepté par le PNUD/</w:t>
      </w:r>
      <w:r w:rsidR="00A46FF2">
        <w:rPr>
          <w:rFonts w:cstheme="minorHAnsi"/>
          <w:sz w:val="24"/>
          <w:szCs w:val="24"/>
          <w:lang w:val="fr-FR"/>
        </w:rPr>
        <w:t>UCMIT-</w:t>
      </w:r>
      <w:r w:rsidR="002903ED" w:rsidRPr="002B6DC4">
        <w:rPr>
          <w:rFonts w:cstheme="minorHAnsi"/>
          <w:sz w:val="24"/>
          <w:szCs w:val="24"/>
          <w:lang w:val="fr-FR"/>
        </w:rPr>
        <w:t>PNCM</w:t>
      </w:r>
    </w:p>
    <w:p w:rsidR="001B4E1C" w:rsidRPr="002B6DC4" w:rsidRDefault="001B4E1C" w:rsidP="001B4E1C">
      <w:pPr>
        <w:pStyle w:val="ListParagraph"/>
        <w:ind w:left="1080"/>
        <w:jc w:val="both"/>
        <w:rPr>
          <w:sz w:val="24"/>
          <w:szCs w:val="24"/>
          <w:lang w:val="fr-FR"/>
        </w:rPr>
      </w:pPr>
    </w:p>
    <w:p w:rsidR="00922BCF" w:rsidRPr="00DB34BE" w:rsidRDefault="00E40BA4" w:rsidP="002B0BE7">
      <w:pPr>
        <w:pStyle w:val="ListParagraph"/>
        <w:numPr>
          <w:ilvl w:val="0"/>
          <w:numId w:val="1"/>
        </w:numPr>
        <w:jc w:val="both"/>
        <w:rPr>
          <w:rFonts w:cstheme="minorHAnsi"/>
          <w:b/>
          <w:sz w:val="24"/>
          <w:szCs w:val="24"/>
          <w:lang w:val="fr-FR"/>
        </w:rPr>
      </w:pPr>
      <w:r w:rsidRPr="00DB34BE">
        <w:rPr>
          <w:rFonts w:cstheme="minorHAnsi"/>
          <w:b/>
          <w:sz w:val="24"/>
          <w:szCs w:val="24"/>
          <w:lang w:val="fr-FR"/>
        </w:rPr>
        <w:t>Documents à</w:t>
      </w:r>
      <w:r w:rsidR="00DB34BE">
        <w:rPr>
          <w:rFonts w:cstheme="minorHAnsi"/>
          <w:b/>
          <w:sz w:val="24"/>
          <w:szCs w:val="24"/>
          <w:lang w:val="fr-FR"/>
        </w:rPr>
        <w:t xml:space="preserve"> Soumettre</w:t>
      </w:r>
    </w:p>
    <w:p w:rsidR="002903ED" w:rsidRPr="001B4E1C" w:rsidRDefault="002903ED" w:rsidP="00F710A9">
      <w:pPr>
        <w:pStyle w:val="p28"/>
        <w:numPr>
          <w:ilvl w:val="0"/>
          <w:numId w:val="31"/>
        </w:numPr>
        <w:tabs>
          <w:tab w:val="left" w:pos="0"/>
        </w:tabs>
        <w:ind w:left="1040"/>
        <w:jc w:val="both"/>
        <w:rPr>
          <w:rFonts w:asciiTheme="minorHAnsi" w:eastAsiaTheme="minorEastAsia" w:hAnsiTheme="minorHAnsi" w:cstheme="minorHAnsi"/>
          <w:bCs/>
          <w:snapToGrid/>
          <w:kern w:val="28"/>
          <w:szCs w:val="24"/>
          <w:lang w:val="fr-FR"/>
        </w:rPr>
      </w:pPr>
      <w:r>
        <w:rPr>
          <w:rFonts w:asciiTheme="minorHAnsi" w:eastAsiaTheme="minorEastAsia" w:hAnsiTheme="minorHAnsi" w:cstheme="minorHAnsi"/>
          <w:bCs/>
          <w:snapToGrid/>
          <w:kern w:val="28"/>
          <w:sz w:val="20"/>
          <w:lang w:val="fr-FR"/>
        </w:rPr>
        <w:t xml:space="preserve">Lettre de motivation d'intérêt montrant sa </w:t>
      </w:r>
      <w:r w:rsidR="00F710A9">
        <w:rPr>
          <w:rFonts w:asciiTheme="minorHAnsi" w:eastAsiaTheme="minorEastAsia" w:hAnsiTheme="minorHAnsi" w:cstheme="minorHAnsi"/>
          <w:bCs/>
          <w:snapToGrid/>
          <w:kern w:val="28"/>
          <w:sz w:val="20"/>
          <w:lang w:val="fr-FR"/>
        </w:rPr>
        <w:t>disponibilité</w:t>
      </w:r>
      <w:r>
        <w:rPr>
          <w:rFonts w:asciiTheme="minorHAnsi" w:eastAsiaTheme="minorEastAsia" w:hAnsiTheme="minorHAnsi" w:cstheme="minorHAnsi"/>
          <w:bCs/>
          <w:snapToGrid/>
          <w:kern w:val="28"/>
          <w:sz w:val="20"/>
          <w:lang w:val="fr-FR"/>
        </w:rPr>
        <w:t xml:space="preserve">, sa </w:t>
      </w:r>
      <w:r w:rsidR="00F710A9">
        <w:rPr>
          <w:rFonts w:asciiTheme="minorHAnsi" w:eastAsiaTheme="minorEastAsia" w:hAnsiTheme="minorHAnsi" w:cstheme="minorHAnsi"/>
          <w:bCs/>
          <w:snapToGrid/>
          <w:kern w:val="28"/>
          <w:sz w:val="20"/>
          <w:lang w:val="fr-FR"/>
        </w:rPr>
        <w:t>compétence</w:t>
      </w:r>
      <w:r>
        <w:rPr>
          <w:rFonts w:asciiTheme="minorHAnsi" w:eastAsiaTheme="minorEastAsia" w:hAnsiTheme="minorHAnsi" w:cstheme="minorHAnsi"/>
          <w:bCs/>
          <w:snapToGrid/>
          <w:kern w:val="28"/>
          <w:sz w:val="20"/>
          <w:lang w:val="fr-FR"/>
        </w:rPr>
        <w:t xml:space="preserve"> et sa </w:t>
      </w:r>
      <w:r w:rsidR="00F710A9">
        <w:rPr>
          <w:rFonts w:asciiTheme="minorHAnsi" w:eastAsiaTheme="minorEastAsia" w:hAnsiTheme="minorHAnsi" w:cstheme="minorHAnsi"/>
          <w:bCs/>
          <w:snapToGrid/>
          <w:kern w:val="28"/>
          <w:sz w:val="20"/>
          <w:lang w:val="fr-FR"/>
        </w:rPr>
        <w:t xml:space="preserve">compréhension des </w:t>
      </w:r>
      <w:r w:rsidR="00F710A9" w:rsidRPr="001B4E1C">
        <w:rPr>
          <w:rFonts w:asciiTheme="minorHAnsi" w:eastAsiaTheme="minorEastAsia" w:hAnsiTheme="minorHAnsi" w:cstheme="minorHAnsi"/>
          <w:bCs/>
          <w:snapToGrid/>
          <w:kern w:val="28"/>
          <w:szCs w:val="24"/>
          <w:lang w:val="fr-FR"/>
        </w:rPr>
        <w:t>taches/responsabilités à accomplir.</w:t>
      </w:r>
    </w:p>
    <w:p w:rsidR="00352F4A" w:rsidRPr="001B4E1C" w:rsidRDefault="00352F4A" w:rsidP="00352F4A">
      <w:pPr>
        <w:pStyle w:val="p28"/>
        <w:tabs>
          <w:tab w:val="left" w:pos="0"/>
        </w:tabs>
        <w:ind w:left="680" w:firstLine="0"/>
        <w:jc w:val="both"/>
        <w:rPr>
          <w:rFonts w:asciiTheme="minorHAnsi" w:eastAsiaTheme="minorEastAsia" w:hAnsiTheme="minorHAnsi" w:cstheme="minorHAnsi"/>
          <w:bCs/>
          <w:snapToGrid/>
          <w:kern w:val="28"/>
          <w:szCs w:val="24"/>
          <w:lang w:val="fr-FR"/>
        </w:rPr>
      </w:pPr>
    </w:p>
    <w:p w:rsidR="00F710A9" w:rsidRPr="001B4E1C" w:rsidRDefault="00F710A9" w:rsidP="00F710A9">
      <w:pPr>
        <w:pStyle w:val="p28"/>
        <w:numPr>
          <w:ilvl w:val="0"/>
          <w:numId w:val="31"/>
        </w:numPr>
        <w:tabs>
          <w:tab w:val="left" w:pos="0"/>
        </w:tabs>
        <w:ind w:left="1040"/>
        <w:jc w:val="both"/>
        <w:rPr>
          <w:rFonts w:asciiTheme="minorHAnsi" w:eastAsiaTheme="minorEastAsia" w:hAnsiTheme="minorHAnsi" w:cstheme="minorHAnsi"/>
          <w:bCs/>
          <w:snapToGrid/>
          <w:kern w:val="28"/>
          <w:szCs w:val="24"/>
          <w:lang w:val="fr-FR"/>
        </w:rPr>
      </w:pPr>
      <w:r w:rsidRPr="001B4E1C">
        <w:rPr>
          <w:rFonts w:asciiTheme="minorHAnsi" w:eastAsiaTheme="minorEastAsia" w:hAnsiTheme="minorHAnsi" w:cstheme="minorHAnsi"/>
          <w:bCs/>
          <w:snapToGrid/>
          <w:kern w:val="28"/>
          <w:szCs w:val="24"/>
          <w:lang w:val="fr-FR"/>
        </w:rPr>
        <w:t>CV indiquant toute expérience antérieure acquise dans le cadre de projets similaires, ainsi que les coordonnées (courriel et numéro de téléphone) du candidat et d'au moins trois (3) références professionnelles ;</w:t>
      </w:r>
    </w:p>
    <w:p w:rsidR="00F710A9" w:rsidRPr="001B4E1C" w:rsidRDefault="00F710A9" w:rsidP="00F710A9">
      <w:pPr>
        <w:pStyle w:val="p28"/>
        <w:tabs>
          <w:tab w:val="left" w:pos="0"/>
        </w:tabs>
        <w:ind w:left="752"/>
        <w:jc w:val="both"/>
        <w:rPr>
          <w:rFonts w:asciiTheme="minorHAnsi" w:eastAsiaTheme="minorEastAsia" w:hAnsiTheme="minorHAnsi" w:cstheme="minorHAnsi"/>
          <w:bCs/>
          <w:snapToGrid/>
          <w:kern w:val="28"/>
          <w:szCs w:val="24"/>
          <w:lang w:val="fr-FR"/>
        </w:rPr>
      </w:pPr>
    </w:p>
    <w:p w:rsidR="00432942" w:rsidRPr="001B4E1C" w:rsidRDefault="00F710A9" w:rsidP="00F710A9">
      <w:pPr>
        <w:pStyle w:val="ListParagraph"/>
        <w:numPr>
          <w:ilvl w:val="0"/>
          <w:numId w:val="31"/>
        </w:numPr>
        <w:ind w:left="1040"/>
        <w:jc w:val="both"/>
        <w:rPr>
          <w:sz w:val="24"/>
          <w:szCs w:val="24"/>
          <w:lang w:val="fr-FR"/>
        </w:rPr>
      </w:pPr>
      <w:r w:rsidRPr="001B4E1C">
        <w:rPr>
          <w:rFonts w:eastAsiaTheme="minorEastAsia" w:cstheme="minorHAnsi"/>
          <w:bCs/>
          <w:kern w:val="28"/>
          <w:sz w:val="24"/>
          <w:szCs w:val="24"/>
          <w:lang w:val="fr-FR"/>
        </w:rPr>
        <w:lastRenderedPageBreak/>
        <w:t xml:space="preserve">Une proposition d’honoraires mensuels prenant en compte les frais professionnels, les frais d’hébergement, les frais de communication et autres frais   </w:t>
      </w:r>
    </w:p>
    <w:p w:rsidR="00E40BA4" w:rsidRDefault="00E40BA4" w:rsidP="00F710A9">
      <w:pPr>
        <w:pStyle w:val="ListParagraph"/>
        <w:ind w:left="1080"/>
        <w:jc w:val="both"/>
        <w:rPr>
          <w:lang w:val="fr-FR"/>
        </w:rPr>
      </w:pPr>
    </w:p>
    <w:p w:rsidR="00EA6CD0" w:rsidRPr="00EA6CD0" w:rsidRDefault="00EA6CD0" w:rsidP="00EA6CD0">
      <w:pPr>
        <w:pStyle w:val="ListParagraph"/>
        <w:ind w:left="1080"/>
        <w:jc w:val="both"/>
        <w:rPr>
          <w:lang w:val="fr-FR"/>
        </w:rPr>
      </w:pPr>
    </w:p>
    <w:p w:rsidR="00E40BA4" w:rsidRPr="00094F57" w:rsidRDefault="00203F37" w:rsidP="002B0BE7">
      <w:pPr>
        <w:pStyle w:val="ListParagraph"/>
        <w:numPr>
          <w:ilvl w:val="0"/>
          <w:numId w:val="1"/>
        </w:numPr>
        <w:jc w:val="both"/>
        <w:rPr>
          <w:b/>
          <w:sz w:val="24"/>
          <w:szCs w:val="24"/>
          <w:lang w:val="fr-FR"/>
        </w:rPr>
      </w:pPr>
      <w:r w:rsidRPr="00094F57">
        <w:rPr>
          <w:b/>
          <w:sz w:val="24"/>
          <w:szCs w:val="24"/>
          <w:lang w:val="fr-FR"/>
        </w:rPr>
        <w:t xml:space="preserve">Evaluation des Dossiers </w:t>
      </w:r>
    </w:p>
    <w:p w:rsidR="00213790" w:rsidRPr="00094F57" w:rsidRDefault="00203F37" w:rsidP="002B0BE7">
      <w:pPr>
        <w:pStyle w:val="ListParagraph"/>
        <w:numPr>
          <w:ilvl w:val="0"/>
          <w:numId w:val="19"/>
        </w:numPr>
        <w:jc w:val="both"/>
        <w:rPr>
          <w:b/>
          <w:i/>
          <w:sz w:val="24"/>
          <w:szCs w:val="24"/>
          <w:lang w:val="fr-FR"/>
        </w:rPr>
      </w:pPr>
      <w:r w:rsidRPr="00094F57">
        <w:rPr>
          <w:b/>
          <w:i/>
          <w:sz w:val="24"/>
          <w:szCs w:val="24"/>
          <w:lang w:val="fr-FR"/>
        </w:rPr>
        <w:t>Evaluation Primaire</w:t>
      </w:r>
    </w:p>
    <w:p w:rsidR="00720224" w:rsidRPr="00094F57" w:rsidRDefault="00720224" w:rsidP="002B0BE7">
      <w:pPr>
        <w:pStyle w:val="ListParagraph"/>
        <w:numPr>
          <w:ilvl w:val="0"/>
          <w:numId w:val="20"/>
        </w:numPr>
        <w:autoSpaceDE w:val="0"/>
        <w:autoSpaceDN w:val="0"/>
        <w:adjustRightInd w:val="0"/>
        <w:spacing w:after="0" w:line="240" w:lineRule="auto"/>
        <w:jc w:val="both"/>
        <w:rPr>
          <w:rFonts w:cs="Calibri"/>
          <w:sz w:val="24"/>
          <w:szCs w:val="24"/>
          <w:lang w:val="fr-CA"/>
        </w:rPr>
      </w:pPr>
      <w:r w:rsidRPr="00094F57">
        <w:rPr>
          <w:rFonts w:cs="Calibri"/>
          <w:sz w:val="24"/>
          <w:szCs w:val="24"/>
          <w:lang w:val="fr-CA"/>
        </w:rPr>
        <w:t>Une évaluation préliminaire des offres aura lieu avant qu’une comparaison technique et financière ne soit considérée. Seules</w:t>
      </w:r>
      <w:r w:rsidR="001B4E1C">
        <w:rPr>
          <w:rFonts w:cs="Calibri"/>
          <w:sz w:val="24"/>
          <w:szCs w:val="24"/>
          <w:lang w:val="fr-CA"/>
        </w:rPr>
        <w:t xml:space="preserve"> les offres techniques </w:t>
      </w:r>
      <w:r w:rsidRPr="00094F57">
        <w:rPr>
          <w:rFonts w:cs="Calibri"/>
          <w:sz w:val="24"/>
          <w:szCs w:val="24"/>
          <w:lang w:val="fr-CA"/>
        </w:rPr>
        <w:t>dont l’examen préliminaire satisfait aux exigences du doss</w:t>
      </w:r>
      <w:r w:rsidR="00152F6A">
        <w:rPr>
          <w:rFonts w:cs="Calibri"/>
          <w:sz w:val="24"/>
          <w:szCs w:val="24"/>
          <w:lang w:val="fr-CA"/>
        </w:rPr>
        <w:t xml:space="preserve">ier joint au tableau ci-dessous </w:t>
      </w:r>
      <w:proofErr w:type="gramStart"/>
      <w:r w:rsidRPr="00094F57">
        <w:rPr>
          <w:rFonts w:cs="Calibri"/>
          <w:sz w:val="24"/>
          <w:szCs w:val="24"/>
          <w:lang w:val="fr-CA"/>
        </w:rPr>
        <w:t>seront</w:t>
      </w:r>
      <w:proofErr w:type="gramEnd"/>
      <w:r w:rsidRPr="00094F57">
        <w:rPr>
          <w:rFonts w:cs="Calibri"/>
          <w:sz w:val="24"/>
          <w:szCs w:val="24"/>
          <w:lang w:val="fr-CA"/>
        </w:rPr>
        <w:t xml:space="preserve"> considérées (méthode conforme/non conforme).</w:t>
      </w:r>
    </w:p>
    <w:p w:rsidR="00720224" w:rsidRPr="009B5FC1" w:rsidRDefault="00720224" w:rsidP="002B0BE7">
      <w:pPr>
        <w:autoSpaceDE w:val="0"/>
        <w:autoSpaceDN w:val="0"/>
        <w:adjustRightInd w:val="0"/>
        <w:spacing w:after="0" w:line="240" w:lineRule="auto"/>
        <w:jc w:val="both"/>
        <w:rPr>
          <w:rFonts w:cs="Calibri"/>
          <w:lang w:val="fr-CA"/>
        </w:rPr>
      </w:pPr>
    </w:p>
    <w:p w:rsidR="00720224" w:rsidRPr="009B5FC1" w:rsidRDefault="00720224" w:rsidP="002B0BE7">
      <w:pPr>
        <w:autoSpaceDE w:val="0"/>
        <w:autoSpaceDN w:val="0"/>
        <w:adjustRightInd w:val="0"/>
        <w:spacing w:after="0" w:line="240" w:lineRule="auto"/>
        <w:jc w:val="both"/>
        <w:rPr>
          <w:rFonts w:cs="Calibri"/>
          <w:b/>
          <w:i/>
          <w:iCs/>
          <w:lang w:val="fr-CA"/>
        </w:rPr>
      </w:pPr>
      <w:r w:rsidRPr="009B5FC1">
        <w:rPr>
          <w:rFonts w:cs="Calibri"/>
          <w:b/>
          <w:i/>
          <w:iCs/>
          <w:lang w:val="fr-CA"/>
        </w:rPr>
        <w:t xml:space="preserve">Tableau d’évaluation primaire </w:t>
      </w:r>
    </w:p>
    <w:tbl>
      <w:tblPr>
        <w:tblW w:w="9263" w:type="dxa"/>
        <w:tblInd w:w="93" w:type="dxa"/>
        <w:tblLook w:val="04A0" w:firstRow="1" w:lastRow="0" w:firstColumn="1" w:lastColumn="0" w:noHBand="0" w:noVBand="1"/>
      </w:tblPr>
      <w:tblGrid>
        <w:gridCol w:w="504"/>
        <w:gridCol w:w="5672"/>
        <w:gridCol w:w="1386"/>
        <w:gridCol w:w="1701"/>
      </w:tblGrid>
      <w:tr w:rsidR="00EA6CD0" w:rsidRPr="009B5FC1" w:rsidTr="00EA6CD0">
        <w:trPr>
          <w:trHeight w:val="420"/>
        </w:trPr>
        <w:tc>
          <w:tcPr>
            <w:tcW w:w="504" w:type="dxa"/>
            <w:hideMark/>
          </w:tcPr>
          <w:p w:rsidR="00720224" w:rsidRPr="009B5FC1" w:rsidRDefault="00720224" w:rsidP="002B0BE7">
            <w:pPr>
              <w:spacing w:after="0" w:line="240" w:lineRule="auto"/>
              <w:jc w:val="both"/>
              <w:rPr>
                <w:rFonts w:cs="Calibri"/>
                <w:b/>
                <w:lang w:val="fr-CA"/>
              </w:rPr>
            </w:pPr>
          </w:p>
        </w:tc>
        <w:tc>
          <w:tcPr>
            <w:tcW w:w="5672" w:type="dxa"/>
            <w:hideMark/>
          </w:tcPr>
          <w:p w:rsidR="00720224" w:rsidRPr="009B5FC1" w:rsidRDefault="00720224" w:rsidP="002B0BE7">
            <w:pPr>
              <w:spacing w:after="0" w:line="240" w:lineRule="auto"/>
              <w:jc w:val="both"/>
              <w:rPr>
                <w:sz w:val="20"/>
                <w:szCs w:val="20"/>
              </w:rPr>
            </w:pPr>
          </w:p>
        </w:tc>
        <w:tc>
          <w:tcPr>
            <w:tcW w:w="3087" w:type="dxa"/>
            <w:gridSpan w:val="2"/>
            <w:tcBorders>
              <w:top w:val="single" w:sz="8" w:space="0" w:color="auto"/>
              <w:left w:val="single" w:sz="8" w:space="0" w:color="auto"/>
              <w:bottom w:val="single" w:sz="8" w:space="0" w:color="auto"/>
              <w:right w:val="single" w:sz="8" w:space="0" w:color="000000"/>
            </w:tcBorders>
            <w:hideMark/>
          </w:tcPr>
          <w:p w:rsidR="00720224" w:rsidRPr="009B5FC1" w:rsidRDefault="00720224" w:rsidP="002B0BE7">
            <w:pPr>
              <w:spacing w:after="0" w:line="240" w:lineRule="auto"/>
              <w:jc w:val="both"/>
              <w:rPr>
                <w:rFonts w:cs="Calibri"/>
                <w:b/>
                <w:color w:val="000000"/>
                <w:lang w:val="fr-CA"/>
              </w:rPr>
            </w:pPr>
            <w:r w:rsidRPr="009B5FC1">
              <w:rPr>
                <w:rFonts w:cs="Calibri"/>
                <w:b/>
                <w:color w:val="000000"/>
                <w:lang w:val="fr-CA"/>
              </w:rPr>
              <w:t>Méthode d’évaluation</w:t>
            </w:r>
          </w:p>
        </w:tc>
      </w:tr>
      <w:tr w:rsidR="00EA6CD0" w:rsidRPr="009B5FC1" w:rsidTr="00EA6CD0">
        <w:trPr>
          <w:trHeight w:val="300"/>
        </w:trPr>
        <w:tc>
          <w:tcPr>
            <w:tcW w:w="504" w:type="dxa"/>
            <w:tcBorders>
              <w:top w:val="single" w:sz="8" w:space="0" w:color="auto"/>
              <w:left w:val="single" w:sz="8" w:space="0" w:color="auto"/>
              <w:bottom w:val="single" w:sz="8" w:space="0" w:color="auto"/>
              <w:right w:val="single" w:sz="4" w:space="0" w:color="auto"/>
            </w:tcBorders>
            <w:hideMark/>
          </w:tcPr>
          <w:p w:rsidR="00720224" w:rsidRPr="009B5FC1" w:rsidRDefault="00720224" w:rsidP="002B0BE7">
            <w:pPr>
              <w:spacing w:after="0" w:line="240" w:lineRule="auto"/>
              <w:jc w:val="both"/>
              <w:rPr>
                <w:rFonts w:cs="Calibri"/>
                <w:b/>
                <w:color w:val="000000"/>
                <w:lang w:val="fr-CA"/>
              </w:rPr>
            </w:pPr>
            <w:r w:rsidRPr="009B5FC1">
              <w:rPr>
                <w:rFonts w:cs="Calibri"/>
                <w:b/>
                <w:color w:val="000000"/>
                <w:lang w:val="fr-CA"/>
              </w:rPr>
              <w:t>No</w:t>
            </w:r>
          </w:p>
        </w:tc>
        <w:tc>
          <w:tcPr>
            <w:tcW w:w="5672" w:type="dxa"/>
            <w:tcBorders>
              <w:top w:val="single" w:sz="8" w:space="0" w:color="auto"/>
              <w:left w:val="nil"/>
              <w:bottom w:val="single" w:sz="8" w:space="0" w:color="auto"/>
              <w:right w:val="single" w:sz="4" w:space="0" w:color="auto"/>
            </w:tcBorders>
            <w:hideMark/>
          </w:tcPr>
          <w:p w:rsidR="00720224" w:rsidRPr="009B5FC1" w:rsidRDefault="00720224" w:rsidP="002B0BE7">
            <w:pPr>
              <w:spacing w:after="0" w:line="240" w:lineRule="auto"/>
              <w:jc w:val="both"/>
              <w:rPr>
                <w:rFonts w:cs="Calibri"/>
                <w:b/>
                <w:color w:val="000000"/>
                <w:lang w:val="fr-CA"/>
              </w:rPr>
            </w:pPr>
            <w:r w:rsidRPr="009B5FC1">
              <w:rPr>
                <w:rFonts w:cs="Calibri"/>
                <w:b/>
                <w:color w:val="000000"/>
                <w:lang w:val="fr-CA"/>
              </w:rPr>
              <w:t xml:space="preserve">Critères préliminaires </w:t>
            </w:r>
          </w:p>
        </w:tc>
        <w:tc>
          <w:tcPr>
            <w:tcW w:w="1386" w:type="dxa"/>
            <w:tcBorders>
              <w:top w:val="nil"/>
              <w:left w:val="nil"/>
              <w:bottom w:val="single" w:sz="8" w:space="0" w:color="auto"/>
              <w:right w:val="single" w:sz="4" w:space="0" w:color="auto"/>
            </w:tcBorders>
            <w:hideMark/>
          </w:tcPr>
          <w:p w:rsidR="00720224" w:rsidRPr="009B5FC1" w:rsidRDefault="00720224" w:rsidP="002B0BE7">
            <w:pPr>
              <w:spacing w:after="0" w:line="240" w:lineRule="auto"/>
              <w:jc w:val="both"/>
              <w:rPr>
                <w:rFonts w:cs="Calibri"/>
                <w:b/>
                <w:color w:val="000000"/>
                <w:lang w:val="fr-CA"/>
              </w:rPr>
            </w:pPr>
            <w:r w:rsidRPr="009B5FC1">
              <w:rPr>
                <w:rFonts w:cs="Calibri"/>
                <w:b/>
                <w:color w:val="000000"/>
                <w:lang w:val="fr-CA"/>
              </w:rPr>
              <w:t xml:space="preserve">Conforme </w:t>
            </w:r>
          </w:p>
        </w:tc>
        <w:tc>
          <w:tcPr>
            <w:tcW w:w="1701" w:type="dxa"/>
            <w:tcBorders>
              <w:top w:val="nil"/>
              <w:left w:val="nil"/>
              <w:bottom w:val="single" w:sz="8" w:space="0" w:color="auto"/>
              <w:right w:val="single" w:sz="8" w:space="0" w:color="auto"/>
            </w:tcBorders>
            <w:hideMark/>
          </w:tcPr>
          <w:p w:rsidR="00720224" w:rsidRPr="009B5FC1" w:rsidRDefault="00720224" w:rsidP="002B0BE7">
            <w:pPr>
              <w:spacing w:after="0" w:line="240" w:lineRule="auto"/>
              <w:jc w:val="both"/>
              <w:rPr>
                <w:rFonts w:cs="Calibri"/>
                <w:b/>
                <w:color w:val="000000"/>
                <w:lang w:val="fr-CA"/>
              </w:rPr>
            </w:pPr>
            <w:r w:rsidRPr="009B5FC1">
              <w:rPr>
                <w:rFonts w:cs="Calibri"/>
                <w:b/>
                <w:color w:val="000000"/>
                <w:lang w:val="fr-CA"/>
              </w:rPr>
              <w:t>Non Conforme</w:t>
            </w:r>
          </w:p>
        </w:tc>
      </w:tr>
      <w:tr w:rsidR="00EA6CD0" w:rsidRPr="003F40C6" w:rsidTr="00EA6CD0">
        <w:trPr>
          <w:trHeight w:val="459"/>
        </w:trPr>
        <w:tc>
          <w:tcPr>
            <w:tcW w:w="504" w:type="dxa"/>
            <w:tcBorders>
              <w:top w:val="nil"/>
              <w:left w:val="single" w:sz="8" w:space="0" w:color="auto"/>
              <w:bottom w:val="single" w:sz="4"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1</w:t>
            </w:r>
          </w:p>
        </w:tc>
        <w:tc>
          <w:tcPr>
            <w:tcW w:w="5672" w:type="dxa"/>
            <w:tcBorders>
              <w:top w:val="nil"/>
              <w:left w:val="nil"/>
              <w:bottom w:val="single" w:sz="4" w:space="0" w:color="auto"/>
              <w:right w:val="single" w:sz="4" w:space="0" w:color="auto"/>
            </w:tcBorders>
            <w:hideMark/>
          </w:tcPr>
          <w:p w:rsidR="00720224" w:rsidRPr="009B5FC1" w:rsidRDefault="00BD2CD9" w:rsidP="002B0BE7">
            <w:pPr>
              <w:spacing w:after="0" w:line="240" w:lineRule="auto"/>
              <w:jc w:val="both"/>
              <w:rPr>
                <w:rFonts w:cs="Calibri"/>
                <w:color w:val="000000"/>
                <w:lang w:val="fr-CA"/>
              </w:rPr>
            </w:pPr>
            <w:r>
              <w:rPr>
                <w:rFonts w:cs="Calibri"/>
                <w:color w:val="000000"/>
                <w:lang w:val="fr-CA"/>
              </w:rPr>
              <w:t>Lettre de motivation</w:t>
            </w:r>
            <w:r w:rsidR="00720224" w:rsidRPr="009B5FC1">
              <w:rPr>
                <w:rFonts w:cs="Calibri"/>
                <w:color w:val="000000"/>
                <w:lang w:val="fr-CA"/>
              </w:rPr>
              <w:t xml:space="preserve"> du</w:t>
            </w:r>
            <w:r w:rsidR="00DC2E6B">
              <w:rPr>
                <w:rFonts w:cs="Calibri"/>
                <w:color w:val="000000"/>
                <w:lang w:val="fr-CA"/>
              </w:rPr>
              <w:t>/de la</w:t>
            </w:r>
            <w:r w:rsidR="00720224" w:rsidRPr="009B5FC1">
              <w:rPr>
                <w:rFonts w:cs="Calibri"/>
                <w:color w:val="000000"/>
                <w:lang w:val="fr-CA"/>
              </w:rPr>
              <w:t xml:space="preserve"> consultant</w:t>
            </w:r>
            <w:r w:rsidR="00DC2E6B">
              <w:rPr>
                <w:rFonts w:cs="Calibri"/>
                <w:color w:val="000000"/>
                <w:lang w:val="fr-CA"/>
              </w:rPr>
              <w:t>/e</w:t>
            </w:r>
            <w:r w:rsidR="00720224" w:rsidRPr="009B5FC1">
              <w:rPr>
                <w:rFonts w:cs="Calibri"/>
                <w:color w:val="000000"/>
                <w:lang w:val="fr-CA"/>
              </w:rPr>
              <w:t xml:space="preserve"> spécifiant le domaine d'experti</w:t>
            </w:r>
            <w:r>
              <w:rPr>
                <w:rFonts w:cs="Calibri"/>
                <w:color w:val="000000"/>
                <w:lang w:val="fr-CA"/>
              </w:rPr>
              <w:t xml:space="preserve">se et la compréhension du travail </w:t>
            </w:r>
            <w:r w:rsidR="00DC2E6B">
              <w:rPr>
                <w:rFonts w:cs="Calibri"/>
                <w:color w:val="000000"/>
                <w:lang w:val="fr-CA"/>
              </w:rPr>
              <w:t>à</w:t>
            </w:r>
            <w:r>
              <w:rPr>
                <w:rFonts w:cs="Calibri"/>
                <w:color w:val="000000"/>
                <w:lang w:val="fr-CA"/>
              </w:rPr>
              <w:t xml:space="preserve"> </w:t>
            </w:r>
            <w:r w:rsidR="00DC2E6B">
              <w:rPr>
                <w:rFonts w:cs="Calibri"/>
                <w:color w:val="000000"/>
                <w:lang w:val="fr-CA"/>
              </w:rPr>
              <w:t>réaliser</w:t>
            </w:r>
          </w:p>
        </w:tc>
        <w:tc>
          <w:tcPr>
            <w:tcW w:w="1386" w:type="dxa"/>
            <w:tcBorders>
              <w:top w:val="nil"/>
              <w:left w:val="nil"/>
              <w:bottom w:val="single" w:sz="4"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w:t>
            </w:r>
          </w:p>
        </w:tc>
        <w:tc>
          <w:tcPr>
            <w:tcW w:w="1701" w:type="dxa"/>
            <w:tcBorders>
              <w:top w:val="nil"/>
              <w:left w:val="nil"/>
              <w:bottom w:val="single" w:sz="4" w:space="0" w:color="auto"/>
              <w:right w:val="single" w:sz="8"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w:t>
            </w:r>
          </w:p>
        </w:tc>
      </w:tr>
      <w:tr w:rsidR="00EA6CD0" w:rsidRPr="003F40C6" w:rsidTr="00EA6CD0">
        <w:trPr>
          <w:trHeight w:val="330"/>
        </w:trPr>
        <w:tc>
          <w:tcPr>
            <w:tcW w:w="504" w:type="dxa"/>
            <w:tcBorders>
              <w:top w:val="nil"/>
              <w:left w:val="single" w:sz="8" w:space="0" w:color="auto"/>
              <w:bottom w:val="single" w:sz="4"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2</w:t>
            </w:r>
          </w:p>
        </w:tc>
        <w:tc>
          <w:tcPr>
            <w:tcW w:w="5672" w:type="dxa"/>
            <w:tcBorders>
              <w:top w:val="nil"/>
              <w:left w:val="nil"/>
              <w:bottom w:val="single" w:sz="4"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xml:space="preserve">CV du consultant et des copies de ses diplômes/certificats </w:t>
            </w:r>
          </w:p>
        </w:tc>
        <w:tc>
          <w:tcPr>
            <w:tcW w:w="1386" w:type="dxa"/>
            <w:tcBorders>
              <w:top w:val="nil"/>
              <w:left w:val="nil"/>
              <w:bottom w:val="single" w:sz="4"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w:t>
            </w:r>
          </w:p>
        </w:tc>
        <w:tc>
          <w:tcPr>
            <w:tcW w:w="1701" w:type="dxa"/>
            <w:tcBorders>
              <w:top w:val="nil"/>
              <w:left w:val="nil"/>
              <w:bottom w:val="single" w:sz="4" w:space="0" w:color="auto"/>
              <w:right w:val="single" w:sz="8"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w:t>
            </w:r>
          </w:p>
        </w:tc>
      </w:tr>
      <w:tr w:rsidR="00EA6CD0" w:rsidRPr="009B5FC1" w:rsidTr="00EA6CD0">
        <w:trPr>
          <w:trHeight w:val="242"/>
        </w:trPr>
        <w:tc>
          <w:tcPr>
            <w:tcW w:w="504" w:type="dxa"/>
            <w:tcBorders>
              <w:top w:val="nil"/>
              <w:left w:val="single" w:sz="8" w:space="0" w:color="auto"/>
              <w:bottom w:val="single" w:sz="8"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4</w:t>
            </w:r>
          </w:p>
        </w:tc>
        <w:tc>
          <w:tcPr>
            <w:tcW w:w="5672" w:type="dxa"/>
            <w:tcBorders>
              <w:top w:val="nil"/>
              <w:left w:val="nil"/>
              <w:bottom w:val="single" w:sz="8"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Offre financière</w:t>
            </w:r>
          </w:p>
        </w:tc>
        <w:tc>
          <w:tcPr>
            <w:tcW w:w="1386" w:type="dxa"/>
            <w:tcBorders>
              <w:top w:val="nil"/>
              <w:left w:val="nil"/>
              <w:bottom w:val="single" w:sz="8" w:space="0" w:color="auto"/>
              <w:right w:val="single" w:sz="4"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w:t>
            </w:r>
          </w:p>
        </w:tc>
        <w:tc>
          <w:tcPr>
            <w:tcW w:w="1701" w:type="dxa"/>
            <w:tcBorders>
              <w:top w:val="nil"/>
              <w:left w:val="nil"/>
              <w:bottom w:val="single" w:sz="8" w:space="0" w:color="auto"/>
              <w:right w:val="single" w:sz="8" w:space="0" w:color="auto"/>
            </w:tcBorders>
            <w:hideMark/>
          </w:tcPr>
          <w:p w:rsidR="00720224" w:rsidRPr="009B5FC1" w:rsidRDefault="00720224" w:rsidP="002B0BE7">
            <w:pPr>
              <w:spacing w:after="0" w:line="240" w:lineRule="auto"/>
              <w:jc w:val="both"/>
              <w:rPr>
                <w:rFonts w:cs="Calibri"/>
                <w:color w:val="000000"/>
                <w:lang w:val="fr-CA"/>
              </w:rPr>
            </w:pPr>
            <w:r w:rsidRPr="009B5FC1">
              <w:rPr>
                <w:rFonts w:cs="Calibri"/>
                <w:color w:val="000000"/>
                <w:lang w:val="fr-CA"/>
              </w:rPr>
              <w:t> </w:t>
            </w:r>
          </w:p>
        </w:tc>
      </w:tr>
    </w:tbl>
    <w:p w:rsidR="00720224" w:rsidRPr="00094F57" w:rsidRDefault="00720224" w:rsidP="002B0BE7">
      <w:pPr>
        <w:jc w:val="both"/>
        <w:rPr>
          <w:sz w:val="24"/>
          <w:szCs w:val="24"/>
          <w:lang w:val="fr-FR"/>
        </w:rPr>
      </w:pPr>
    </w:p>
    <w:p w:rsidR="00720224" w:rsidRPr="00094F57" w:rsidRDefault="00720224" w:rsidP="002B0BE7">
      <w:pPr>
        <w:pStyle w:val="ListParagraph"/>
        <w:numPr>
          <w:ilvl w:val="0"/>
          <w:numId w:val="21"/>
        </w:numPr>
        <w:jc w:val="both"/>
        <w:rPr>
          <w:b/>
          <w:i/>
          <w:sz w:val="24"/>
          <w:szCs w:val="24"/>
          <w:lang w:val="fr-FR"/>
        </w:rPr>
      </w:pPr>
      <w:r w:rsidRPr="00094F57">
        <w:rPr>
          <w:b/>
          <w:i/>
          <w:sz w:val="24"/>
          <w:szCs w:val="24"/>
          <w:lang w:val="fr-FR"/>
        </w:rPr>
        <w:t>Evaluation proprement dite</w:t>
      </w:r>
      <w:r w:rsidR="00094F57">
        <w:rPr>
          <w:b/>
          <w:i/>
          <w:sz w:val="24"/>
          <w:szCs w:val="24"/>
          <w:lang w:val="fr-FR"/>
        </w:rPr>
        <w:t> :</w:t>
      </w:r>
    </w:p>
    <w:p w:rsidR="00720224" w:rsidRPr="00094F57" w:rsidRDefault="00720224" w:rsidP="002B0BE7">
      <w:pPr>
        <w:pStyle w:val="ListParagraph"/>
        <w:numPr>
          <w:ilvl w:val="0"/>
          <w:numId w:val="22"/>
        </w:numPr>
        <w:jc w:val="both"/>
        <w:rPr>
          <w:sz w:val="24"/>
          <w:szCs w:val="24"/>
          <w:lang w:val="fr-FR"/>
        </w:rPr>
      </w:pPr>
      <w:r w:rsidRPr="00094F57">
        <w:rPr>
          <w:sz w:val="24"/>
          <w:szCs w:val="24"/>
          <w:lang w:val="fr-FR"/>
        </w:rPr>
        <w:t xml:space="preserve">Déterminer si tous les documents exigés, soumis sont conformes. </w:t>
      </w:r>
    </w:p>
    <w:p w:rsidR="00720224" w:rsidRPr="00094F57" w:rsidRDefault="00720224" w:rsidP="002B0BE7">
      <w:pPr>
        <w:pStyle w:val="ListParagraph"/>
        <w:numPr>
          <w:ilvl w:val="0"/>
          <w:numId w:val="22"/>
        </w:numPr>
        <w:jc w:val="both"/>
        <w:rPr>
          <w:sz w:val="24"/>
          <w:szCs w:val="24"/>
          <w:lang w:val="fr-FR"/>
        </w:rPr>
      </w:pPr>
      <w:r w:rsidRPr="00094F57">
        <w:rPr>
          <w:sz w:val="24"/>
          <w:szCs w:val="24"/>
          <w:lang w:val="fr-FR"/>
        </w:rPr>
        <w:t xml:space="preserve">Vérification des qualifications et des expériences du consultant </w:t>
      </w:r>
    </w:p>
    <w:p w:rsidR="00720224" w:rsidRPr="00094F57" w:rsidRDefault="00152F6A" w:rsidP="002B0BE7">
      <w:pPr>
        <w:pStyle w:val="ListParagraph"/>
        <w:numPr>
          <w:ilvl w:val="0"/>
          <w:numId w:val="22"/>
        </w:numPr>
        <w:jc w:val="both"/>
        <w:rPr>
          <w:sz w:val="24"/>
          <w:szCs w:val="24"/>
          <w:lang w:val="fr-FR"/>
        </w:rPr>
      </w:pPr>
      <w:r>
        <w:rPr>
          <w:sz w:val="24"/>
          <w:szCs w:val="24"/>
          <w:lang w:val="fr-FR"/>
        </w:rPr>
        <w:t>Evaluation du profil et des compétences du/de la consultant/e</w:t>
      </w:r>
    </w:p>
    <w:p w:rsidR="00720224" w:rsidRPr="00094F57" w:rsidRDefault="00720224" w:rsidP="002B0BE7">
      <w:pPr>
        <w:pStyle w:val="ListParagraph"/>
        <w:numPr>
          <w:ilvl w:val="0"/>
          <w:numId w:val="22"/>
        </w:numPr>
        <w:jc w:val="both"/>
        <w:rPr>
          <w:sz w:val="24"/>
          <w:szCs w:val="24"/>
          <w:lang w:val="fr-FR"/>
        </w:rPr>
      </w:pPr>
      <w:r w:rsidRPr="00094F57">
        <w:rPr>
          <w:sz w:val="24"/>
          <w:szCs w:val="24"/>
          <w:lang w:val="fr-FR"/>
        </w:rPr>
        <w:t>Evaluation de l’offre Financière</w:t>
      </w:r>
    </w:p>
    <w:p w:rsidR="00EA6CD0" w:rsidRDefault="00720224" w:rsidP="00EA6CD0">
      <w:pPr>
        <w:pStyle w:val="ListParagraph"/>
        <w:numPr>
          <w:ilvl w:val="0"/>
          <w:numId w:val="22"/>
        </w:numPr>
        <w:jc w:val="both"/>
        <w:rPr>
          <w:sz w:val="24"/>
          <w:szCs w:val="24"/>
          <w:lang w:val="fr-FR"/>
        </w:rPr>
      </w:pPr>
      <w:r w:rsidRPr="00094F57">
        <w:rPr>
          <w:sz w:val="24"/>
          <w:szCs w:val="24"/>
          <w:lang w:val="fr-FR"/>
        </w:rPr>
        <w:t>Seul</w:t>
      </w:r>
      <w:r w:rsidR="00EA6CD0">
        <w:rPr>
          <w:sz w:val="24"/>
          <w:szCs w:val="24"/>
          <w:lang w:val="fr-FR"/>
        </w:rPr>
        <w:t>/e</w:t>
      </w:r>
      <w:r w:rsidRPr="00094F57">
        <w:rPr>
          <w:sz w:val="24"/>
          <w:szCs w:val="24"/>
          <w:lang w:val="fr-FR"/>
        </w:rPr>
        <w:t xml:space="preserve"> </w:t>
      </w:r>
      <w:r w:rsidR="00EA6CD0">
        <w:rPr>
          <w:sz w:val="24"/>
          <w:szCs w:val="24"/>
          <w:lang w:val="fr-FR"/>
        </w:rPr>
        <w:t>le/la consultant/</w:t>
      </w:r>
      <w:r w:rsidR="008F174D" w:rsidRPr="00094F57">
        <w:rPr>
          <w:sz w:val="24"/>
          <w:szCs w:val="24"/>
          <w:lang w:val="fr-FR"/>
        </w:rPr>
        <w:t>e</w:t>
      </w:r>
      <w:r w:rsidRPr="00094F57">
        <w:rPr>
          <w:sz w:val="24"/>
          <w:szCs w:val="24"/>
          <w:lang w:val="fr-FR"/>
        </w:rPr>
        <w:t xml:space="preserve"> ayant le score </w:t>
      </w:r>
      <w:r w:rsidR="00094F57" w:rsidRPr="00094F57">
        <w:rPr>
          <w:sz w:val="24"/>
          <w:szCs w:val="24"/>
          <w:lang w:val="fr-FR"/>
        </w:rPr>
        <w:t>combiné</w:t>
      </w:r>
      <w:r w:rsidRPr="00094F57">
        <w:rPr>
          <w:sz w:val="24"/>
          <w:szCs w:val="24"/>
          <w:lang w:val="fr-FR"/>
        </w:rPr>
        <w:t xml:space="preserve"> le plus élevé sera considéré pour une entrevue avec UCMIT en vue d’une signature éventuelle de contrat.</w:t>
      </w:r>
    </w:p>
    <w:p w:rsidR="00EA6CD0" w:rsidRPr="00EA6CD0" w:rsidRDefault="00EA6CD0" w:rsidP="00EA6CD0">
      <w:pPr>
        <w:pStyle w:val="ListParagraph"/>
        <w:ind w:left="1080"/>
        <w:jc w:val="both"/>
        <w:rPr>
          <w:sz w:val="24"/>
          <w:szCs w:val="24"/>
          <w:lang w:val="fr-FR"/>
        </w:rPr>
      </w:pPr>
    </w:p>
    <w:p w:rsidR="00203F37" w:rsidRPr="00094F57" w:rsidRDefault="00203F37" w:rsidP="002B0BE7">
      <w:pPr>
        <w:pStyle w:val="ListParagraph"/>
        <w:numPr>
          <w:ilvl w:val="0"/>
          <w:numId w:val="1"/>
        </w:numPr>
        <w:jc w:val="both"/>
        <w:rPr>
          <w:b/>
          <w:sz w:val="24"/>
          <w:szCs w:val="24"/>
          <w:lang w:val="fr-FR"/>
        </w:rPr>
      </w:pPr>
      <w:r w:rsidRPr="00094F57">
        <w:rPr>
          <w:b/>
          <w:sz w:val="24"/>
          <w:szCs w:val="24"/>
          <w:lang w:val="fr-FR"/>
        </w:rPr>
        <w:t>Dépôt des dossiers</w:t>
      </w:r>
    </w:p>
    <w:p w:rsidR="006B542C" w:rsidRPr="00A46FF2" w:rsidRDefault="00715902" w:rsidP="009730E1">
      <w:pPr>
        <w:pStyle w:val="ListParagraph"/>
        <w:numPr>
          <w:ilvl w:val="0"/>
          <w:numId w:val="32"/>
        </w:numPr>
        <w:jc w:val="both"/>
        <w:rPr>
          <w:rFonts w:cs="Calibri"/>
          <w:b/>
          <w:bCs/>
          <w:sz w:val="24"/>
          <w:szCs w:val="24"/>
          <w:lang w:val="fr-CA"/>
        </w:rPr>
      </w:pPr>
      <w:r w:rsidRPr="00FA3A09">
        <w:rPr>
          <w:rFonts w:cs="Calibri"/>
          <w:bCs/>
          <w:sz w:val="24"/>
          <w:szCs w:val="24"/>
          <w:lang w:val="fr-CA"/>
        </w:rPr>
        <w:t>Les dos</w:t>
      </w:r>
      <w:r w:rsidR="009730E1">
        <w:rPr>
          <w:rFonts w:cs="Calibri"/>
          <w:bCs/>
          <w:sz w:val="24"/>
          <w:szCs w:val="24"/>
          <w:lang w:val="fr-CA"/>
        </w:rPr>
        <w:t>siers d’application :</w:t>
      </w:r>
      <w:r w:rsidR="00FA3A09" w:rsidRPr="009730E1">
        <w:rPr>
          <w:rFonts w:cs="Calibri"/>
          <w:bCs/>
          <w:sz w:val="24"/>
          <w:szCs w:val="24"/>
          <w:lang w:val="fr-CA"/>
        </w:rPr>
        <w:t xml:space="preserve"> la lettre de motivation dans une enveloppe blanche</w:t>
      </w:r>
      <w:r w:rsidRPr="009730E1">
        <w:rPr>
          <w:rFonts w:cs="Calibri"/>
          <w:bCs/>
          <w:sz w:val="24"/>
          <w:szCs w:val="24"/>
          <w:lang w:val="fr-CA"/>
        </w:rPr>
        <w:t xml:space="preserve">, l’offre financière dans une  seconde enveloppe </w:t>
      </w:r>
      <w:r w:rsidR="006B542C" w:rsidRPr="009730E1">
        <w:rPr>
          <w:rFonts w:cs="Calibri"/>
          <w:bCs/>
          <w:sz w:val="24"/>
          <w:szCs w:val="24"/>
          <w:lang w:val="fr-CA"/>
        </w:rPr>
        <w:t>blanche,</w:t>
      </w:r>
      <w:r w:rsidR="00FA3A09" w:rsidRPr="009730E1">
        <w:rPr>
          <w:rFonts w:cs="Calibri"/>
          <w:bCs/>
          <w:sz w:val="24"/>
          <w:szCs w:val="24"/>
          <w:lang w:val="fr-CA"/>
        </w:rPr>
        <w:t xml:space="preserve"> CV/diplômes dans une enveloppe jaune </w:t>
      </w:r>
      <w:r w:rsidRPr="009730E1">
        <w:rPr>
          <w:rFonts w:cs="Calibri"/>
          <w:bCs/>
          <w:sz w:val="24"/>
          <w:szCs w:val="24"/>
          <w:lang w:val="fr-CA"/>
        </w:rPr>
        <w:t xml:space="preserve"> et le tout dans une grande enveloppe, avec le nom du postulant et la mention « </w:t>
      </w:r>
      <w:r w:rsidR="00FA3A09" w:rsidRPr="00A46FF2">
        <w:rPr>
          <w:rFonts w:cstheme="minorHAnsi"/>
          <w:b/>
          <w:bCs/>
          <w:sz w:val="24"/>
          <w:szCs w:val="24"/>
          <w:lang w:val="fr-FR"/>
        </w:rPr>
        <w:t xml:space="preserve">Recrutement d’un expert en entomologie pour </w:t>
      </w:r>
      <w:r w:rsidR="006B542C" w:rsidRPr="00A46FF2">
        <w:rPr>
          <w:rFonts w:cstheme="minorHAnsi"/>
          <w:b/>
          <w:bCs/>
          <w:sz w:val="24"/>
          <w:szCs w:val="24"/>
          <w:lang w:val="fr-FR"/>
        </w:rPr>
        <w:t>l’étude</w:t>
      </w:r>
      <w:r w:rsidR="00FA3A09" w:rsidRPr="00A46FF2">
        <w:rPr>
          <w:rFonts w:cstheme="minorHAnsi"/>
          <w:b/>
          <w:bCs/>
          <w:sz w:val="24"/>
          <w:szCs w:val="24"/>
          <w:lang w:val="fr-FR"/>
        </w:rPr>
        <w:t xml:space="preserve"> sur l’efficacité du traitement des gites larvaires en </w:t>
      </w:r>
      <w:proofErr w:type="spellStart"/>
      <w:r w:rsidR="00FA3A09" w:rsidRPr="00A46FF2">
        <w:rPr>
          <w:rFonts w:cstheme="minorHAnsi"/>
          <w:b/>
          <w:bCs/>
          <w:sz w:val="24"/>
          <w:szCs w:val="24"/>
          <w:lang w:val="fr-FR"/>
        </w:rPr>
        <w:t>Haiti</w:t>
      </w:r>
      <w:proofErr w:type="spellEnd"/>
      <w:r w:rsidR="00FA3A09" w:rsidRPr="00A46FF2">
        <w:rPr>
          <w:rFonts w:cstheme="minorHAnsi"/>
          <w:b/>
          <w:bCs/>
          <w:sz w:val="24"/>
          <w:szCs w:val="24"/>
          <w:lang w:val="fr-FR"/>
        </w:rPr>
        <w:t> »</w:t>
      </w:r>
      <w:r w:rsidRPr="00A46FF2">
        <w:rPr>
          <w:rFonts w:cs="Calibri"/>
          <w:b/>
          <w:bCs/>
          <w:sz w:val="24"/>
          <w:szCs w:val="24"/>
          <w:lang w:val="fr-CA"/>
        </w:rPr>
        <w:t xml:space="preserve"> </w:t>
      </w:r>
    </w:p>
    <w:p w:rsidR="00FA3A09" w:rsidRPr="00C1176F" w:rsidRDefault="006B542C" w:rsidP="009730E1">
      <w:pPr>
        <w:pStyle w:val="ListParagraph"/>
        <w:numPr>
          <w:ilvl w:val="0"/>
          <w:numId w:val="32"/>
        </w:numPr>
        <w:jc w:val="both"/>
        <w:rPr>
          <w:rFonts w:cs="Calibri"/>
          <w:bCs/>
          <w:sz w:val="24"/>
          <w:szCs w:val="24"/>
          <w:highlight w:val="yellow"/>
          <w:lang w:val="fr-CA"/>
        </w:rPr>
      </w:pPr>
      <w:r>
        <w:rPr>
          <w:rFonts w:cs="Calibri"/>
          <w:bCs/>
          <w:sz w:val="24"/>
          <w:szCs w:val="24"/>
          <w:lang w:val="fr-CA"/>
        </w:rPr>
        <w:t xml:space="preserve">Les dossiers seront déposés sous pli cacheté </w:t>
      </w:r>
      <w:r w:rsidR="00715902" w:rsidRPr="009730E1">
        <w:rPr>
          <w:rFonts w:cs="Calibri"/>
          <w:bCs/>
          <w:sz w:val="24"/>
          <w:szCs w:val="24"/>
          <w:lang w:val="fr-CA"/>
        </w:rPr>
        <w:t xml:space="preserve">au niveau du secrétariat de l’Unité des Maladies Infectieuses et Transmissibles 17, rue </w:t>
      </w:r>
      <w:proofErr w:type="spellStart"/>
      <w:r w:rsidR="00715902" w:rsidRPr="009730E1">
        <w:rPr>
          <w:rFonts w:cs="Calibri"/>
          <w:bCs/>
          <w:sz w:val="24"/>
          <w:szCs w:val="24"/>
          <w:lang w:val="fr-CA"/>
        </w:rPr>
        <w:t>Darguin</w:t>
      </w:r>
      <w:proofErr w:type="spellEnd"/>
      <w:r w:rsidR="00715902" w:rsidRPr="009730E1">
        <w:rPr>
          <w:rFonts w:cs="Calibri"/>
          <w:bCs/>
          <w:sz w:val="24"/>
          <w:szCs w:val="24"/>
          <w:lang w:val="fr-CA"/>
        </w:rPr>
        <w:t xml:space="preserve">, Pétion vile, </w:t>
      </w:r>
      <w:r w:rsidRPr="009730E1">
        <w:rPr>
          <w:rFonts w:cs="Calibri"/>
          <w:bCs/>
          <w:sz w:val="24"/>
          <w:szCs w:val="24"/>
          <w:lang w:val="fr-CA"/>
        </w:rPr>
        <w:t>Haïti ;</w:t>
      </w:r>
      <w:r>
        <w:rPr>
          <w:rFonts w:cs="Calibri"/>
          <w:bCs/>
          <w:sz w:val="24"/>
          <w:szCs w:val="24"/>
          <w:lang w:val="fr-CA"/>
        </w:rPr>
        <w:t xml:space="preserve"> ou ils seront envoyés par email </w:t>
      </w:r>
      <w:r w:rsidR="00A46FF2">
        <w:rPr>
          <w:rFonts w:cs="Calibri"/>
          <w:bCs/>
          <w:sz w:val="24"/>
          <w:szCs w:val="24"/>
          <w:lang w:val="fr-CA"/>
        </w:rPr>
        <w:t xml:space="preserve">à </w:t>
      </w:r>
      <w:hyperlink r:id="rId7" w:history="1">
        <w:r w:rsidR="00A46FF2" w:rsidRPr="001E340D">
          <w:rPr>
            <w:rStyle w:val="Hyperlink"/>
            <w:rFonts w:cs="Calibri"/>
            <w:bCs/>
            <w:sz w:val="24"/>
            <w:szCs w:val="24"/>
            <w:lang w:val="fr-CA"/>
          </w:rPr>
          <w:t>mspprecrutmentucmit@gmail.com</w:t>
        </w:r>
      </w:hyperlink>
      <w:r w:rsidR="00A46FF2">
        <w:rPr>
          <w:rFonts w:cs="Calibri"/>
          <w:bCs/>
          <w:sz w:val="24"/>
          <w:szCs w:val="24"/>
          <w:lang w:val="fr-CA"/>
        </w:rPr>
        <w:t xml:space="preserve"> </w:t>
      </w:r>
    </w:p>
    <w:p w:rsidR="00715902" w:rsidRPr="00FA3A09" w:rsidRDefault="00FA3A09" w:rsidP="00FA3A09">
      <w:pPr>
        <w:pStyle w:val="ListParagraph"/>
        <w:numPr>
          <w:ilvl w:val="0"/>
          <w:numId w:val="32"/>
        </w:numPr>
        <w:jc w:val="both"/>
        <w:rPr>
          <w:rFonts w:cstheme="minorHAnsi"/>
          <w:bCs/>
          <w:sz w:val="28"/>
          <w:lang w:val="fr-FR"/>
        </w:rPr>
      </w:pPr>
      <w:r w:rsidRPr="00FA3A09">
        <w:rPr>
          <w:rFonts w:cs="Calibri"/>
          <w:bCs/>
          <w:sz w:val="24"/>
          <w:szCs w:val="24"/>
          <w:lang w:val="fr-CA"/>
        </w:rPr>
        <w:t xml:space="preserve">La date limite pour la soumission des </w:t>
      </w:r>
      <w:r w:rsidR="006B542C" w:rsidRPr="00FA3A09">
        <w:rPr>
          <w:rFonts w:cs="Calibri"/>
          <w:bCs/>
          <w:sz w:val="24"/>
          <w:szCs w:val="24"/>
          <w:lang w:val="fr-CA"/>
        </w:rPr>
        <w:t>dossiers</w:t>
      </w:r>
      <w:r w:rsidRPr="00FA3A09">
        <w:rPr>
          <w:rFonts w:cs="Calibri"/>
          <w:bCs/>
          <w:sz w:val="24"/>
          <w:szCs w:val="24"/>
          <w:lang w:val="fr-CA"/>
        </w:rPr>
        <w:t xml:space="preserve"> est le 29 Octobre 2021 avant 4 :00 pm</w:t>
      </w:r>
    </w:p>
    <w:p w:rsidR="001858D4" w:rsidRPr="00715902" w:rsidRDefault="001858D4" w:rsidP="002B0BE7">
      <w:pPr>
        <w:jc w:val="both"/>
        <w:rPr>
          <w:rFonts w:cstheme="minorHAnsi"/>
          <w:lang w:val="fr-FR"/>
        </w:rPr>
      </w:pPr>
    </w:p>
    <w:sectPr w:rsidR="001858D4" w:rsidRPr="00715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F7D"/>
    <w:multiLevelType w:val="hybridMultilevel"/>
    <w:tmpl w:val="287C8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2163F"/>
    <w:multiLevelType w:val="hybridMultilevel"/>
    <w:tmpl w:val="5EC65A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B02F48"/>
    <w:multiLevelType w:val="hybridMultilevel"/>
    <w:tmpl w:val="4FBA27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BC5414"/>
    <w:multiLevelType w:val="hybridMultilevel"/>
    <w:tmpl w:val="B94AF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F22F2"/>
    <w:multiLevelType w:val="hybridMultilevel"/>
    <w:tmpl w:val="C4A6A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612E6"/>
    <w:multiLevelType w:val="hybridMultilevel"/>
    <w:tmpl w:val="8B3E71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EE2709"/>
    <w:multiLevelType w:val="hybridMultilevel"/>
    <w:tmpl w:val="805A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1E4680"/>
    <w:multiLevelType w:val="hybridMultilevel"/>
    <w:tmpl w:val="B06EF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175CA"/>
    <w:multiLevelType w:val="hybridMultilevel"/>
    <w:tmpl w:val="302C6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A5932"/>
    <w:multiLevelType w:val="hybridMultilevel"/>
    <w:tmpl w:val="221A8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E22D0"/>
    <w:multiLevelType w:val="hybridMultilevel"/>
    <w:tmpl w:val="924E31C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nsid w:val="2BEE71E3"/>
    <w:multiLevelType w:val="hybridMultilevel"/>
    <w:tmpl w:val="D4C2CA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0D2CA1"/>
    <w:multiLevelType w:val="hybridMultilevel"/>
    <w:tmpl w:val="B21ED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2948A5"/>
    <w:multiLevelType w:val="hybridMultilevel"/>
    <w:tmpl w:val="29F02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46C2C"/>
    <w:multiLevelType w:val="hybridMultilevel"/>
    <w:tmpl w:val="8A24F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976EC"/>
    <w:multiLevelType w:val="hybridMultilevel"/>
    <w:tmpl w:val="11B0D0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A32DF8"/>
    <w:multiLevelType w:val="hybridMultilevel"/>
    <w:tmpl w:val="68A63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B023DC"/>
    <w:multiLevelType w:val="hybridMultilevel"/>
    <w:tmpl w:val="B51438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8C2149"/>
    <w:multiLevelType w:val="hybridMultilevel"/>
    <w:tmpl w:val="6C08D0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1B8538A"/>
    <w:multiLevelType w:val="hybridMultilevel"/>
    <w:tmpl w:val="53404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0514A0"/>
    <w:multiLevelType w:val="hybridMultilevel"/>
    <w:tmpl w:val="D4382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5C07AA"/>
    <w:multiLevelType w:val="hybridMultilevel"/>
    <w:tmpl w:val="618A70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18473E"/>
    <w:multiLevelType w:val="hybridMultilevel"/>
    <w:tmpl w:val="8F42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B0833"/>
    <w:multiLevelType w:val="hybridMultilevel"/>
    <w:tmpl w:val="6C20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BE4126"/>
    <w:multiLevelType w:val="hybridMultilevel"/>
    <w:tmpl w:val="06763A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465276A"/>
    <w:multiLevelType w:val="hybridMultilevel"/>
    <w:tmpl w:val="8318C6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387BEB"/>
    <w:multiLevelType w:val="hybridMultilevel"/>
    <w:tmpl w:val="76FE7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8787351"/>
    <w:multiLevelType w:val="hybridMultilevel"/>
    <w:tmpl w:val="51A8F8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8E112E0"/>
    <w:multiLevelType w:val="hybridMultilevel"/>
    <w:tmpl w:val="79AAF4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8EC4560"/>
    <w:multiLevelType w:val="hybridMultilevel"/>
    <w:tmpl w:val="87765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5104B"/>
    <w:multiLevelType w:val="hybridMultilevel"/>
    <w:tmpl w:val="9C5A96C6"/>
    <w:lvl w:ilvl="0" w:tplc="34090017">
      <w:start w:val="1"/>
      <w:numFmt w:val="lowerLetter"/>
      <w:lvlText w:val="%1)"/>
      <w:lvlJc w:val="left"/>
      <w:pPr>
        <w:tabs>
          <w:tab w:val="num" w:pos="1428"/>
        </w:tabs>
        <w:ind w:left="1428" w:hanging="360"/>
      </w:pPr>
      <w:rPr>
        <w:rFont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1">
    <w:nsid w:val="7E751D30"/>
    <w:multiLevelType w:val="hybridMultilevel"/>
    <w:tmpl w:val="0268947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F607BC"/>
    <w:multiLevelType w:val="hybridMultilevel"/>
    <w:tmpl w:val="AC9C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14"/>
  </w:num>
  <w:num w:numId="2">
    <w:abstractNumId w:val="13"/>
  </w:num>
  <w:num w:numId="3">
    <w:abstractNumId w:val="22"/>
  </w:num>
  <w:num w:numId="4">
    <w:abstractNumId w:val="3"/>
  </w:num>
  <w:num w:numId="5">
    <w:abstractNumId w:val="24"/>
  </w:num>
  <w:num w:numId="6">
    <w:abstractNumId w:val="20"/>
  </w:num>
  <w:num w:numId="7">
    <w:abstractNumId w:val="23"/>
  </w:num>
  <w:num w:numId="8">
    <w:abstractNumId w:val="31"/>
  </w:num>
  <w:num w:numId="9">
    <w:abstractNumId w:val="7"/>
  </w:num>
  <w:num w:numId="10">
    <w:abstractNumId w:val="9"/>
  </w:num>
  <w:num w:numId="11">
    <w:abstractNumId w:val="10"/>
  </w:num>
  <w:num w:numId="12">
    <w:abstractNumId w:val="6"/>
  </w:num>
  <w:num w:numId="13">
    <w:abstractNumId w:val="4"/>
  </w:num>
  <w:num w:numId="14">
    <w:abstractNumId w:val="12"/>
  </w:num>
  <w:num w:numId="15">
    <w:abstractNumId w:val="2"/>
  </w:num>
  <w:num w:numId="16">
    <w:abstractNumId w:val="16"/>
  </w:num>
  <w:num w:numId="17">
    <w:abstractNumId w:val="18"/>
  </w:num>
  <w:num w:numId="18">
    <w:abstractNumId w:val="0"/>
  </w:num>
  <w:num w:numId="19">
    <w:abstractNumId w:val="1"/>
  </w:num>
  <w:num w:numId="20">
    <w:abstractNumId w:val="26"/>
  </w:num>
  <w:num w:numId="21">
    <w:abstractNumId w:val="5"/>
  </w:num>
  <w:num w:numId="22">
    <w:abstractNumId w:val="27"/>
  </w:num>
  <w:num w:numId="23">
    <w:abstractNumId w:val="29"/>
  </w:num>
  <w:num w:numId="24">
    <w:abstractNumId w:val="21"/>
  </w:num>
  <w:num w:numId="25">
    <w:abstractNumId w:val="32"/>
  </w:num>
  <w:num w:numId="26">
    <w:abstractNumId w:val="15"/>
  </w:num>
  <w:num w:numId="27">
    <w:abstractNumId w:val="28"/>
  </w:num>
  <w:num w:numId="28">
    <w:abstractNumId w:val="19"/>
  </w:num>
  <w:num w:numId="29">
    <w:abstractNumId w:val="33"/>
  </w:num>
  <w:num w:numId="30">
    <w:abstractNumId w:val="30"/>
  </w:num>
  <w:num w:numId="31">
    <w:abstractNumId w:val="25"/>
  </w:num>
  <w:num w:numId="32">
    <w:abstractNumId w:val="17"/>
  </w:num>
  <w:num w:numId="33">
    <w:abstractNumId w:val="1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58"/>
    <w:rsid w:val="00011B7C"/>
    <w:rsid w:val="00015C80"/>
    <w:rsid w:val="0002213F"/>
    <w:rsid w:val="00025D6E"/>
    <w:rsid w:val="00050E89"/>
    <w:rsid w:val="00061A34"/>
    <w:rsid w:val="00066D8B"/>
    <w:rsid w:val="000756E2"/>
    <w:rsid w:val="00077659"/>
    <w:rsid w:val="00094F57"/>
    <w:rsid w:val="00100A45"/>
    <w:rsid w:val="00103498"/>
    <w:rsid w:val="001148CC"/>
    <w:rsid w:val="001405E2"/>
    <w:rsid w:val="00145040"/>
    <w:rsid w:val="00152F6A"/>
    <w:rsid w:val="001858D4"/>
    <w:rsid w:val="00193F13"/>
    <w:rsid w:val="001A2C63"/>
    <w:rsid w:val="001B4E1C"/>
    <w:rsid w:val="001C1DC0"/>
    <w:rsid w:val="001C6B63"/>
    <w:rsid w:val="001C742D"/>
    <w:rsid w:val="001D109C"/>
    <w:rsid w:val="001F0BF0"/>
    <w:rsid w:val="00203F37"/>
    <w:rsid w:val="00213790"/>
    <w:rsid w:val="002903ED"/>
    <w:rsid w:val="002B0BE7"/>
    <w:rsid w:val="002B5858"/>
    <w:rsid w:val="002B6DC4"/>
    <w:rsid w:val="003165C2"/>
    <w:rsid w:val="00352F4A"/>
    <w:rsid w:val="00382D5F"/>
    <w:rsid w:val="003B16AA"/>
    <w:rsid w:val="003F3E56"/>
    <w:rsid w:val="003F40C6"/>
    <w:rsid w:val="00402C13"/>
    <w:rsid w:val="00404FCB"/>
    <w:rsid w:val="00432942"/>
    <w:rsid w:val="00467B15"/>
    <w:rsid w:val="004813EB"/>
    <w:rsid w:val="004B07F8"/>
    <w:rsid w:val="004C115D"/>
    <w:rsid w:val="004D4299"/>
    <w:rsid w:val="004D7643"/>
    <w:rsid w:val="004F2DC4"/>
    <w:rsid w:val="004F6630"/>
    <w:rsid w:val="00525FD7"/>
    <w:rsid w:val="005B3CEC"/>
    <w:rsid w:val="005E52C6"/>
    <w:rsid w:val="00603D35"/>
    <w:rsid w:val="006446D8"/>
    <w:rsid w:val="00654B8A"/>
    <w:rsid w:val="00673AF9"/>
    <w:rsid w:val="00677B1E"/>
    <w:rsid w:val="006A139A"/>
    <w:rsid w:val="006B0D31"/>
    <w:rsid w:val="006B542C"/>
    <w:rsid w:val="00714D16"/>
    <w:rsid w:val="00715902"/>
    <w:rsid w:val="00720224"/>
    <w:rsid w:val="00724EFF"/>
    <w:rsid w:val="007519CB"/>
    <w:rsid w:val="007674C1"/>
    <w:rsid w:val="007B5B8C"/>
    <w:rsid w:val="007E2A26"/>
    <w:rsid w:val="00816D12"/>
    <w:rsid w:val="0082466C"/>
    <w:rsid w:val="00861C7B"/>
    <w:rsid w:val="00892DF2"/>
    <w:rsid w:val="008C38B5"/>
    <w:rsid w:val="008E04D7"/>
    <w:rsid w:val="008F174D"/>
    <w:rsid w:val="008F4D76"/>
    <w:rsid w:val="00900585"/>
    <w:rsid w:val="00904004"/>
    <w:rsid w:val="009172AA"/>
    <w:rsid w:val="00922BCF"/>
    <w:rsid w:val="00941291"/>
    <w:rsid w:val="009730E1"/>
    <w:rsid w:val="009D66EA"/>
    <w:rsid w:val="00A02563"/>
    <w:rsid w:val="00A075DD"/>
    <w:rsid w:val="00A14BA1"/>
    <w:rsid w:val="00A20629"/>
    <w:rsid w:val="00A46FF2"/>
    <w:rsid w:val="00A514DB"/>
    <w:rsid w:val="00A555C8"/>
    <w:rsid w:val="00A62F56"/>
    <w:rsid w:val="00AA7C1B"/>
    <w:rsid w:val="00AC5483"/>
    <w:rsid w:val="00AE639F"/>
    <w:rsid w:val="00AE7251"/>
    <w:rsid w:val="00B845AE"/>
    <w:rsid w:val="00BA33B5"/>
    <w:rsid w:val="00BC4307"/>
    <w:rsid w:val="00BD2CD9"/>
    <w:rsid w:val="00C1176F"/>
    <w:rsid w:val="00C14A57"/>
    <w:rsid w:val="00C727F4"/>
    <w:rsid w:val="00D00DB8"/>
    <w:rsid w:val="00D04A0D"/>
    <w:rsid w:val="00D22446"/>
    <w:rsid w:val="00D566C1"/>
    <w:rsid w:val="00D831BA"/>
    <w:rsid w:val="00D94B14"/>
    <w:rsid w:val="00DB34BE"/>
    <w:rsid w:val="00DC2E6B"/>
    <w:rsid w:val="00DC5B69"/>
    <w:rsid w:val="00DC76DE"/>
    <w:rsid w:val="00DD692F"/>
    <w:rsid w:val="00DE7F82"/>
    <w:rsid w:val="00E26D68"/>
    <w:rsid w:val="00E31EB2"/>
    <w:rsid w:val="00E40BA4"/>
    <w:rsid w:val="00E433D8"/>
    <w:rsid w:val="00E45B74"/>
    <w:rsid w:val="00E45F60"/>
    <w:rsid w:val="00E54806"/>
    <w:rsid w:val="00E71E67"/>
    <w:rsid w:val="00E807CB"/>
    <w:rsid w:val="00EA6CD0"/>
    <w:rsid w:val="00EB66F7"/>
    <w:rsid w:val="00EC245C"/>
    <w:rsid w:val="00ED5B57"/>
    <w:rsid w:val="00F336F8"/>
    <w:rsid w:val="00F52220"/>
    <w:rsid w:val="00F56ADB"/>
    <w:rsid w:val="00F710A9"/>
    <w:rsid w:val="00F96512"/>
    <w:rsid w:val="00FA3A09"/>
    <w:rsid w:val="00FA7265"/>
    <w:rsid w:val="00FD0702"/>
    <w:rsid w:val="00FE25E3"/>
    <w:rsid w:val="00FE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1ED"/>
  </w:style>
  <w:style w:type="paragraph" w:styleId="ListParagraph">
    <w:name w:val="List Paragraph"/>
    <w:basedOn w:val="Normal"/>
    <w:uiPriority w:val="34"/>
    <w:qFormat/>
    <w:rsid w:val="00E54806"/>
    <w:pPr>
      <w:ind w:left="720"/>
      <w:contextualSpacing/>
    </w:pPr>
  </w:style>
  <w:style w:type="table" w:styleId="TableGrid">
    <w:name w:val="Table Grid"/>
    <w:basedOn w:val="TableNormal"/>
    <w:uiPriority w:val="39"/>
    <w:rsid w:val="00F96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8">
    <w:name w:val="p28"/>
    <w:basedOn w:val="Normal"/>
    <w:rsid w:val="002903ED"/>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3F4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0C6"/>
    <w:rPr>
      <w:rFonts w:ascii="Tahoma" w:hAnsi="Tahoma" w:cs="Tahoma"/>
      <w:sz w:val="16"/>
      <w:szCs w:val="16"/>
    </w:rPr>
  </w:style>
  <w:style w:type="character" w:styleId="Hyperlink">
    <w:name w:val="Hyperlink"/>
    <w:basedOn w:val="DefaultParagraphFont"/>
    <w:uiPriority w:val="99"/>
    <w:unhideWhenUsed/>
    <w:rsid w:val="00A46FF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1ED"/>
  </w:style>
  <w:style w:type="paragraph" w:styleId="ListParagraph">
    <w:name w:val="List Paragraph"/>
    <w:basedOn w:val="Normal"/>
    <w:uiPriority w:val="34"/>
    <w:qFormat/>
    <w:rsid w:val="00E54806"/>
    <w:pPr>
      <w:ind w:left="720"/>
      <w:contextualSpacing/>
    </w:pPr>
  </w:style>
  <w:style w:type="table" w:styleId="TableGrid">
    <w:name w:val="Table Grid"/>
    <w:basedOn w:val="TableNormal"/>
    <w:uiPriority w:val="39"/>
    <w:rsid w:val="00F96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8">
    <w:name w:val="p28"/>
    <w:basedOn w:val="Normal"/>
    <w:rsid w:val="002903ED"/>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3F4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0C6"/>
    <w:rPr>
      <w:rFonts w:ascii="Tahoma" w:hAnsi="Tahoma" w:cs="Tahoma"/>
      <w:sz w:val="16"/>
      <w:szCs w:val="16"/>
    </w:rPr>
  </w:style>
  <w:style w:type="character" w:styleId="Hyperlink">
    <w:name w:val="Hyperlink"/>
    <w:basedOn w:val="DefaultParagraphFont"/>
    <w:uiPriority w:val="99"/>
    <w:unhideWhenUsed/>
    <w:rsid w:val="00A46F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spprecrutmentucmi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2392</Words>
  <Characters>13639</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Ucmit</dc:creator>
  <cp:lastModifiedBy>ADMIN</cp:lastModifiedBy>
  <cp:revision>3</cp:revision>
  <dcterms:created xsi:type="dcterms:W3CDTF">2021-10-20T14:09:00Z</dcterms:created>
  <dcterms:modified xsi:type="dcterms:W3CDTF">2021-10-20T14:10:00Z</dcterms:modified>
</cp:coreProperties>
</file>