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3A651" w14:textId="7EB28F64" w:rsidR="00C22F9C" w:rsidRDefault="00C22F9C">
      <w:pPr>
        <w:pBdr>
          <w:top w:val="nil"/>
          <w:left w:val="nil"/>
          <w:bottom w:val="nil"/>
          <w:right w:val="nil"/>
          <w:between w:val="nil"/>
        </w:pBdr>
        <w:tabs>
          <w:tab w:val="center" w:pos="4680"/>
          <w:tab w:val="right" w:pos="9360"/>
        </w:tabs>
        <w:spacing w:after="0" w:line="240" w:lineRule="auto"/>
        <w:ind w:left="2160"/>
        <w:rPr>
          <w:rFonts w:ascii="Impact" w:eastAsia="Impact" w:hAnsi="Impact" w:cs="Impact"/>
          <w:color w:val="000000"/>
          <w:sz w:val="20"/>
          <w:szCs w:val="20"/>
        </w:rPr>
      </w:pPr>
    </w:p>
    <w:p w14:paraId="515048CB" w14:textId="20FB6CAD" w:rsidR="00C22F9C" w:rsidRDefault="00C22F9C">
      <w:pPr>
        <w:pBdr>
          <w:top w:val="nil"/>
          <w:left w:val="nil"/>
          <w:bottom w:val="nil"/>
          <w:right w:val="nil"/>
          <w:between w:val="nil"/>
        </w:pBdr>
        <w:tabs>
          <w:tab w:val="center" w:pos="4680"/>
          <w:tab w:val="right" w:pos="9360"/>
        </w:tabs>
        <w:spacing w:after="0" w:line="240" w:lineRule="auto"/>
        <w:jc w:val="center"/>
        <w:rPr>
          <w:color w:val="000000"/>
        </w:rPr>
      </w:pPr>
    </w:p>
    <w:p w14:paraId="3300F332" w14:textId="03313E5E" w:rsidR="00C22F9C" w:rsidRPr="005B555E" w:rsidRDefault="00C22F9C">
      <w:pPr>
        <w:pBdr>
          <w:top w:val="nil"/>
          <w:left w:val="nil"/>
          <w:bottom w:val="nil"/>
          <w:right w:val="nil"/>
          <w:between w:val="nil"/>
        </w:pBdr>
        <w:tabs>
          <w:tab w:val="center" w:pos="4680"/>
          <w:tab w:val="right" w:pos="9360"/>
        </w:tabs>
        <w:spacing w:after="0" w:line="240" w:lineRule="auto"/>
        <w:rPr>
          <w:rFonts w:ascii="Twentieth Century" w:eastAsia="Twentieth Century" w:hAnsi="Twentieth Century" w:cs="Twentieth Century"/>
          <w:color w:val="000000"/>
          <w:sz w:val="20"/>
          <w:szCs w:val="20"/>
          <w:lang w:val="en-US"/>
        </w:rPr>
      </w:pPr>
    </w:p>
    <w:p w14:paraId="467E9C88" w14:textId="60D65A12" w:rsidR="00C22F9C" w:rsidRPr="005B555E" w:rsidRDefault="00DE7144">
      <w:pPr>
        <w:spacing w:line="360" w:lineRule="auto"/>
        <w:jc w:val="center"/>
        <w:rPr>
          <w:rFonts w:ascii="Times New Roman" w:eastAsia="Times New Roman" w:hAnsi="Times New Roman" w:cs="Times New Roman"/>
          <w:b/>
          <w:sz w:val="24"/>
          <w:szCs w:val="24"/>
          <w:u w:val="single"/>
          <w:lang w:val="en-US"/>
        </w:rPr>
      </w:pPr>
      <w:r>
        <w:rPr>
          <w:noProof/>
          <w:lang w:val="en-US"/>
        </w:rPr>
        <mc:AlternateContent>
          <mc:Choice Requires="wps">
            <w:drawing>
              <wp:anchor distT="0" distB="0" distL="114300" distR="114300" simplePos="0" relativeHeight="251660288" behindDoc="0" locked="0" layoutInCell="1" hidden="0" allowOverlap="1" wp14:anchorId="4EDA7B34" wp14:editId="1A4A60EC">
                <wp:simplePos x="0" y="0"/>
                <wp:positionH relativeFrom="margin">
                  <wp:align>center</wp:align>
                </wp:positionH>
                <wp:positionV relativeFrom="paragraph">
                  <wp:posOffset>101600</wp:posOffset>
                </wp:positionV>
                <wp:extent cx="4248150" cy="1143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4248150" cy="114300"/>
                        </a:xfrm>
                        <a:prstGeom prst="rect">
                          <a:avLst/>
                        </a:prstGeom>
                        <a:solidFill>
                          <a:schemeClr val="accent5">
                            <a:lumMod val="60000"/>
                            <a:lumOff val="40000"/>
                          </a:schemeClr>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D5BAE4" id="Rectangle 1" o:spid="_x0000_s1026" style="position:absolute;margin-left:0;margin-top:8pt;width:334.5pt;height:9pt;z-index:25166028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" fillcolor="#92cddc [1944]" strokecolor="#92cddc [1944]" strokeweight="2pt">
                <w10:wrap anchorx="margin"/>
              </v:rect>
            </w:pict>
          </mc:Fallback>
        </mc:AlternateContent>
      </w:r>
    </w:p>
    <w:p w14:paraId="0247DF4F" w14:textId="77777777" w:rsidR="00C22F9C" w:rsidRDefault="00A8240B">
      <w:pPr>
        <w:spacing w:line="36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TERMES DE RÉFÉRENCES</w:t>
      </w:r>
    </w:p>
    <w:p w14:paraId="1A4E7B45" w14:textId="683505CD" w:rsidR="00C22F9C" w:rsidRPr="009316B6" w:rsidRDefault="0065798A">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Juin </w:t>
      </w:r>
      <w:r w:rsidR="00A8240B">
        <w:rPr>
          <w:rFonts w:ascii="Times New Roman" w:eastAsia="Times New Roman" w:hAnsi="Times New Roman" w:cs="Times New Roman"/>
          <w:b/>
          <w:sz w:val="24"/>
          <w:szCs w:val="24"/>
        </w:rPr>
        <w:t xml:space="preserve"> 2021</w:t>
      </w:r>
    </w:p>
    <w:p w14:paraId="4FDBC7EE" w14:textId="1A767B21" w:rsidR="00C22F9C" w:rsidRPr="009316B6" w:rsidRDefault="00A8240B">
      <w:pPr>
        <w:spacing w:line="360" w:lineRule="auto"/>
        <w:jc w:val="center"/>
        <w:rPr>
          <w:rFonts w:ascii="Times New Roman" w:eastAsia="Times New Roman" w:hAnsi="Times New Roman" w:cs="Times New Roman"/>
          <w:b/>
          <w:sz w:val="24"/>
          <w:szCs w:val="24"/>
          <w:u w:val="single"/>
        </w:rPr>
      </w:pPr>
      <w:r w:rsidRPr="009316B6">
        <w:rPr>
          <w:rFonts w:ascii="Times New Roman" w:eastAsia="Times New Roman" w:hAnsi="Times New Roman" w:cs="Times New Roman"/>
          <w:b/>
          <w:sz w:val="24"/>
          <w:szCs w:val="24"/>
          <w:u w:val="single"/>
        </w:rPr>
        <w:t>Etude sur les violences sexuelles basées sur le genre dans les communes de</w:t>
      </w:r>
      <w:r w:rsidR="001C1D5D" w:rsidRPr="009316B6">
        <w:rPr>
          <w:rFonts w:ascii="Times New Roman" w:eastAsia="Times New Roman" w:hAnsi="Times New Roman" w:cs="Times New Roman"/>
          <w:b/>
          <w:sz w:val="24"/>
          <w:szCs w:val="24"/>
          <w:u w:val="single"/>
        </w:rPr>
        <w:t xml:space="preserve"> Ferrier</w:t>
      </w:r>
      <w:r w:rsidR="009316B6" w:rsidRPr="009316B6">
        <w:rPr>
          <w:rFonts w:ascii="Times New Roman" w:eastAsia="Times New Roman" w:hAnsi="Times New Roman" w:cs="Times New Roman"/>
          <w:b/>
          <w:sz w:val="24"/>
          <w:szCs w:val="24"/>
          <w:u w:val="single"/>
        </w:rPr>
        <w:t xml:space="preserve"> </w:t>
      </w:r>
      <w:r w:rsidR="000106A3" w:rsidRPr="009316B6">
        <w:rPr>
          <w:rFonts w:ascii="Times New Roman" w:eastAsia="Times New Roman" w:hAnsi="Times New Roman" w:cs="Times New Roman"/>
          <w:b/>
          <w:sz w:val="24"/>
          <w:szCs w:val="24"/>
          <w:u w:val="single"/>
        </w:rPr>
        <w:t>d’</w:t>
      </w:r>
      <w:proofErr w:type="spellStart"/>
      <w:r w:rsidR="000106A3" w:rsidRPr="009316B6">
        <w:rPr>
          <w:rFonts w:ascii="Times New Roman" w:eastAsia="Times New Roman" w:hAnsi="Times New Roman" w:cs="Times New Roman"/>
          <w:b/>
          <w:sz w:val="24"/>
          <w:szCs w:val="24"/>
          <w:u w:val="single"/>
        </w:rPr>
        <w:t>Ouanaminthe</w:t>
      </w:r>
      <w:proofErr w:type="spellEnd"/>
      <w:r w:rsidRPr="009316B6">
        <w:rPr>
          <w:rFonts w:ascii="Times New Roman" w:eastAsia="Times New Roman" w:hAnsi="Times New Roman" w:cs="Times New Roman"/>
          <w:b/>
          <w:sz w:val="24"/>
          <w:szCs w:val="24"/>
          <w:u w:val="single"/>
        </w:rPr>
        <w:t>,</w:t>
      </w:r>
      <w:r w:rsidR="001C1D5D" w:rsidRPr="009316B6">
        <w:rPr>
          <w:rFonts w:ascii="Times New Roman" w:eastAsia="Times New Roman" w:hAnsi="Times New Roman" w:cs="Times New Roman"/>
          <w:b/>
          <w:sz w:val="24"/>
          <w:szCs w:val="24"/>
          <w:u w:val="single"/>
        </w:rPr>
        <w:t xml:space="preserve"> et de </w:t>
      </w:r>
      <w:proofErr w:type="spellStart"/>
      <w:r w:rsidR="009316B6" w:rsidRPr="009316B6">
        <w:rPr>
          <w:rFonts w:ascii="Times New Roman" w:eastAsia="Times New Roman" w:hAnsi="Times New Roman" w:cs="Times New Roman"/>
          <w:b/>
          <w:sz w:val="24"/>
          <w:szCs w:val="24"/>
          <w:u w:val="single"/>
        </w:rPr>
        <w:t>Capotille</w:t>
      </w:r>
      <w:proofErr w:type="spellEnd"/>
    </w:p>
    <w:tbl>
      <w:tblPr>
        <w:tblStyle w:val="2"/>
        <w:tblW w:w="1026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0"/>
        <w:gridCol w:w="5940"/>
      </w:tblGrid>
      <w:tr w:rsidR="00C22F9C" w14:paraId="37AA96AE" w14:textId="77777777">
        <w:trPr>
          <w:trHeight w:val="746"/>
        </w:trPr>
        <w:tc>
          <w:tcPr>
            <w:tcW w:w="4320" w:type="dxa"/>
            <w:tcBorders>
              <w:top w:val="single" w:sz="4" w:space="0" w:color="000000"/>
              <w:left w:val="single" w:sz="4" w:space="0" w:color="000000"/>
              <w:bottom w:val="single" w:sz="4" w:space="0" w:color="000000"/>
              <w:right w:val="single" w:sz="4" w:space="0" w:color="000000"/>
            </w:tcBorders>
          </w:tcPr>
          <w:p w14:paraId="3D91D957" w14:textId="77777777" w:rsidR="00C22F9C" w:rsidRDefault="00A8240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Zone d’intervention</w:t>
            </w:r>
          </w:p>
        </w:tc>
        <w:tc>
          <w:tcPr>
            <w:tcW w:w="5940" w:type="dxa"/>
            <w:tcBorders>
              <w:top w:val="single" w:sz="4" w:space="0" w:color="000000"/>
              <w:left w:val="single" w:sz="4" w:space="0" w:color="000000"/>
              <w:bottom w:val="single" w:sz="4" w:space="0" w:color="000000"/>
              <w:right w:val="single" w:sz="4" w:space="0" w:color="000000"/>
            </w:tcBorders>
          </w:tcPr>
          <w:p w14:paraId="1F4BBD51" w14:textId="77777777" w:rsidR="00C22F9C" w:rsidRDefault="00A8240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Ferrier, </w:t>
            </w:r>
            <w:proofErr w:type="spellStart"/>
            <w:r>
              <w:rPr>
                <w:rFonts w:ascii="Times New Roman" w:eastAsia="Times New Roman" w:hAnsi="Times New Roman" w:cs="Times New Roman"/>
                <w:sz w:val="24"/>
                <w:szCs w:val="24"/>
              </w:rPr>
              <w:t>Ouanaminthe</w:t>
            </w:r>
            <w:proofErr w:type="spellEnd"/>
            <w:r>
              <w:rPr>
                <w:rFonts w:ascii="Times New Roman" w:eastAsia="Times New Roman" w:hAnsi="Times New Roman" w:cs="Times New Roman"/>
                <w:sz w:val="24"/>
                <w:szCs w:val="24"/>
              </w:rPr>
              <w:t xml:space="preserve"> et </w:t>
            </w:r>
            <w:proofErr w:type="spellStart"/>
            <w:r>
              <w:rPr>
                <w:rFonts w:ascii="Times New Roman" w:eastAsia="Times New Roman" w:hAnsi="Times New Roman" w:cs="Times New Roman"/>
                <w:sz w:val="24"/>
                <w:szCs w:val="24"/>
              </w:rPr>
              <w:t>Capotille</w:t>
            </w:r>
            <w:proofErr w:type="spellEnd"/>
            <w:r>
              <w:rPr>
                <w:rFonts w:ascii="Times New Roman" w:eastAsia="Times New Roman" w:hAnsi="Times New Roman" w:cs="Times New Roman"/>
                <w:sz w:val="24"/>
                <w:szCs w:val="24"/>
              </w:rPr>
              <w:t xml:space="preserve"> (avec déplacement dans les sections communales)</w:t>
            </w:r>
          </w:p>
        </w:tc>
      </w:tr>
      <w:tr w:rsidR="00C22F9C" w:rsidRPr="00DD37C0" w14:paraId="4A7270C1" w14:textId="77777777">
        <w:trPr>
          <w:trHeight w:val="419"/>
        </w:trPr>
        <w:tc>
          <w:tcPr>
            <w:tcW w:w="4320" w:type="dxa"/>
            <w:tcBorders>
              <w:top w:val="single" w:sz="4" w:space="0" w:color="000000"/>
              <w:left w:val="single" w:sz="4" w:space="0" w:color="000000"/>
              <w:bottom w:val="single" w:sz="4" w:space="0" w:color="000000"/>
              <w:right w:val="single" w:sz="4" w:space="0" w:color="000000"/>
            </w:tcBorders>
          </w:tcPr>
          <w:p w14:paraId="26636B47" w14:textId="77777777" w:rsidR="00C22F9C" w:rsidRDefault="00A8240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Supervision</w:t>
            </w:r>
          </w:p>
        </w:tc>
        <w:tc>
          <w:tcPr>
            <w:tcW w:w="5940" w:type="dxa"/>
            <w:tcBorders>
              <w:top w:val="single" w:sz="4" w:space="0" w:color="000000"/>
              <w:left w:val="single" w:sz="4" w:space="0" w:color="000000"/>
              <w:bottom w:val="single" w:sz="4" w:space="0" w:color="000000"/>
              <w:right w:val="single" w:sz="4" w:space="0" w:color="000000"/>
            </w:tcBorders>
          </w:tcPr>
          <w:p w14:paraId="4F174302" w14:textId="77777777" w:rsidR="00C22F9C" w:rsidRPr="005B555E" w:rsidRDefault="00A8240B">
            <w:pPr>
              <w:spacing w:after="200" w:line="360" w:lineRule="auto"/>
              <w:rPr>
                <w:rFonts w:ascii="Times New Roman" w:eastAsia="Times New Roman" w:hAnsi="Times New Roman" w:cs="Times New Roman"/>
                <w:sz w:val="24"/>
                <w:szCs w:val="24"/>
                <w:lang w:val="en-US"/>
              </w:rPr>
            </w:pPr>
            <w:r w:rsidRPr="005B555E">
              <w:rPr>
                <w:rFonts w:ascii="Times New Roman" w:eastAsia="Times New Roman" w:hAnsi="Times New Roman" w:cs="Times New Roman"/>
                <w:sz w:val="24"/>
                <w:szCs w:val="24"/>
                <w:lang w:val="en-US"/>
              </w:rPr>
              <w:t>AFASDA (</w:t>
            </w:r>
            <w:proofErr w:type="spellStart"/>
            <w:r w:rsidRPr="005B555E">
              <w:rPr>
                <w:rFonts w:ascii="Times New Roman" w:eastAsia="Times New Roman" w:hAnsi="Times New Roman" w:cs="Times New Roman"/>
                <w:sz w:val="24"/>
                <w:szCs w:val="24"/>
                <w:lang w:val="en-US"/>
              </w:rPr>
              <w:t>Asosyasyon</w:t>
            </w:r>
            <w:proofErr w:type="spellEnd"/>
            <w:r w:rsidRPr="005B555E">
              <w:rPr>
                <w:rFonts w:ascii="Times New Roman" w:eastAsia="Times New Roman" w:hAnsi="Times New Roman" w:cs="Times New Roman"/>
                <w:sz w:val="24"/>
                <w:szCs w:val="24"/>
                <w:lang w:val="en-US"/>
              </w:rPr>
              <w:t xml:space="preserve"> </w:t>
            </w:r>
            <w:proofErr w:type="spellStart"/>
            <w:r w:rsidRPr="005B555E">
              <w:rPr>
                <w:rFonts w:ascii="Times New Roman" w:eastAsia="Times New Roman" w:hAnsi="Times New Roman" w:cs="Times New Roman"/>
                <w:sz w:val="24"/>
                <w:szCs w:val="24"/>
                <w:lang w:val="en-US"/>
              </w:rPr>
              <w:t>Fanm</w:t>
            </w:r>
            <w:proofErr w:type="spellEnd"/>
            <w:r w:rsidRPr="005B555E">
              <w:rPr>
                <w:rFonts w:ascii="Times New Roman" w:eastAsia="Times New Roman" w:hAnsi="Times New Roman" w:cs="Times New Roman"/>
                <w:sz w:val="24"/>
                <w:szCs w:val="24"/>
                <w:lang w:val="en-US"/>
              </w:rPr>
              <w:t xml:space="preserve"> </w:t>
            </w:r>
            <w:proofErr w:type="spellStart"/>
            <w:r w:rsidRPr="005B555E">
              <w:rPr>
                <w:rFonts w:ascii="Times New Roman" w:eastAsia="Times New Roman" w:hAnsi="Times New Roman" w:cs="Times New Roman"/>
                <w:sz w:val="24"/>
                <w:szCs w:val="24"/>
                <w:lang w:val="en-US"/>
              </w:rPr>
              <w:t>Solèy</w:t>
            </w:r>
            <w:proofErr w:type="spellEnd"/>
            <w:r w:rsidRPr="005B555E">
              <w:rPr>
                <w:rFonts w:ascii="Times New Roman" w:eastAsia="Times New Roman" w:hAnsi="Times New Roman" w:cs="Times New Roman"/>
                <w:sz w:val="24"/>
                <w:szCs w:val="24"/>
                <w:lang w:val="en-US"/>
              </w:rPr>
              <w:t xml:space="preserve"> </w:t>
            </w:r>
            <w:proofErr w:type="spellStart"/>
            <w:r w:rsidRPr="005B555E">
              <w:rPr>
                <w:rFonts w:ascii="Times New Roman" w:eastAsia="Times New Roman" w:hAnsi="Times New Roman" w:cs="Times New Roman"/>
                <w:sz w:val="24"/>
                <w:szCs w:val="24"/>
                <w:lang w:val="en-US"/>
              </w:rPr>
              <w:t>DAyiti</w:t>
            </w:r>
            <w:proofErr w:type="spellEnd"/>
            <w:r w:rsidRPr="005B555E">
              <w:rPr>
                <w:rFonts w:ascii="Times New Roman" w:eastAsia="Times New Roman" w:hAnsi="Times New Roman" w:cs="Times New Roman"/>
                <w:sz w:val="24"/>
                <w:szCs w:val="24"/>
                <w:lang w:val="en-US"/>
              </w:rPr>
              <w:t xml:space="preserve">) </w:t>
            </w:r>
          </w:p>
        </w:tc>
      </w:tr>
      <w:tr w:rsidR="00C22F9C" w14:paraId="530C64C2" w14:textId="77777777">
        <w:tc>
          <w:tcPr>
            <w:tcW w:w="4320" w:type="dxa"/>
            <w:tcBorders>
              <w:top w:val="single" w:sz="4" w:space="0" w:color="000000"/>
              <w:left w:val="single" w:sz="4" w:space="0" w:color="000000"/>
              <w:bottom w:val="single" w:sz="4" w:space="0" w:color="000000"/>
              <w:right w:val="single" w:sz="4" w:space="0" w:color="000000"/>
            </w:tcBorders>
          </w:tcPr>
          <w:p w14:paraId="235C6B77" w14:textId="77777777" w:rsidR="00C22F9C" w:rsidRDefault="00A8240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 du Contrat:</w:t>
            </w:r>
          </w:p>
        </w:tc>
        <w:tc>
          <w:tcPr>
            <w:tcW w:w="5940" w:type="dxa"/>
            <w:tcBorders>
              <w:top w:val="single" w:sz="4" w:space="0" w:color="000000"/>
              <w:left w:val="single" w:sz="4" w:space="0" w:color="000000"/>
              <w:bottom w:val="single" w:sz="4" w:space="0" w:color="000000"/>
              <w:right w:val="single" w:sz="4" w:space="0" w:color="000000"/>
            </w:tcBorders>
          </w:tcPr>
          <w:p w14:paraId="2B93756B" w14:textId="3F9865DA" w:rsidR="00C22F9C" w:rsidRDefault="00A8240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Consultant-te individu</w:t>
            </w:r>
            <w:r w:rsidR="009316B6">
              <w:rPr>
                <w:rFonts w:ascii="Times New Roman" w:eastAsia="Times New Roman" w:hAnsi="Times New Roman" w:cs="Times New Roman"/>
                <w:sz w:val="24"/>
                <w:szCs w:val="24"/>
              </w:rPr>
              <w:t>e</w:t>
            </w:r>
            <w:r>
              <w:rPr>
                <w:rFonts w:ascii="Times New Roman" w:eastAsia="Times New Roman" w:hAnsi="Times New Roman" w:cs="Times New Roman"/>
                <w:sz w:val="24"/>
                <w:szCs w:val="24"/>
              </w:rPr>
              <w:t>l</w:t>
            </w:r>
            <w:r w:rsidR="00C0608B">
              <w:rPr>
                <w:rFonts w:ascii="Times New Roman" w:eastAsia="Times New Roman" w:hAnsi="Times New Roman" w:cs="Times New Roman"/>
                <w:sz w:val="24"/>
                <w:szCs w:val="24"/>
              </w:rPr>
              <w:t xml:space="preserve"> ou équipe de consultant-tes</w:t>
            </w:r>
          </w:p>
        </w:tc>
      </w:tr>
      <w:tr w:rsidR="00C22F9C" w14:paraId="087FC0FF" w14:textId="77777777">
        <w:tc>
          <w:tcPr>
            <w:tcW w:w="4320" w:type="dxa"/>
            <w:tcBorders>
              <w:top w:val="single" w:sz="4" w:space="0" w:color="000000"/>
              <w:left w:val="single" w:sz="4" w:space="0" w:color="000000"/>
              <w:bottom w:val="single" w:sz="4" w:space="0" w:color="000000"/>
              <w:right w:val="single" w:sz="4" w:space="0" w:color="000000"/>
            </w:tcBorders>
          </w:tcPr>
          <w:p w14:paraId="1D824CFB" w14:textId="77777777" w:rsidR="00C22F9C" w:rsidRDefault="00A8240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Langues requises</w:t>
            </w:r>
          </w:p>
        </w:tc>
        <w:tc>
          <w:tcPr>
            <w:tcW w:w="5940" w:type="dxa"/>
            <w:tcBorders>
              <w:top w:val="single" w:sz="4" w:space="0" w:color="000000"/>
              <w:left w:val="single" w:sz="4" w:space="0" w:color="000000"/>
              <w:bottom w:val="single" w:sz="4" w:space="0" w:color="000000"/>
              <w:right w:val="single" w:sz="4" w:space="0" w:color="000000"/>
            </w:tcBorders>
          </w:tcPr>
          <w:p w14:paraId="2ACFFF3E" w14:textId="08122E82" w:rsidR="00C22F9C" w:rsidRDefault="00A8240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française et créole</w:t>
            </w:r>
          </w:p>
        </w:tc>
      </w:tr>
      <w:tr w:rsidR="00C22F9C" w14:paraId="69BD272E" w14:textId="77777777">
        <w:tc>
          <w:tcPr>
            <w:tcW w:w="4320" w:type="dxa"/>
            <w:tcBorders>
              <w:top w:val="single" w:sz="4" w:space="0" w:color="000000"/>
              <w:left w:val="single" w:sz="4" w:space="0" w:color="000000"/>
              <w:bottom w:val="single" w:sz="4" w:space="0" w:color="000000"/>
              <w:right w:val="single" w:sz="4" w:space="0" w:color="000000"/>
            </w:tcBorders>
          </w:tcPr>
          <w:p w14:paraId="281BB774" w14:textId="77777777" w:rsidR="00C22F9C" w:rsidRDefault="00A8240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 du démarrage des activités</w:t>
            </w:r>
          </w:p>
        </w:tc>
        <w:tc>
          <w:tcPr>
            <w:tcW w:w="5940" w:type="dxa"/>
            <w:tcBorders>
              <w:top w:val="single" w:sz="4" w:space="0" w:color="000000"/>
              <w:left w:val="single" w:sz="4" w:space="0" w:color="000000"/>
              <w:bottom w:val="single" w:sz="4" w:space="0" w:color="000000"/>
              <w:right w:val="single" w:sz="4" w:space="0" w:color="000000"/>
            </w:tcBorders>
          </w:tcPr>
          <w:p w14:paraId="4A599530" w14:textId="77777777" w:rsidR="00C22F9C" w:rsidRDefault="00A8240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Dès la signature du contrat</w:t>
            </w:r>
          </w:p>
        </w:tc>
      </w:tr>
      <w:tr w:rsidR="00C22F9C" w14:paraId="23B64333" w14:textId="77777777">
        <w:tc>
          <w:tcPr>
            <w:tcW w:w="4320" w:type="dxa"/>
            <w:tcBorders>
              <w:top w:val="single" w:sz="4" w:space="0" w:color="000000"/>
              <w:left w:val="single" w:sz="4" w:space="0" w:color="000000"/>
              <w:bottom w:val="single" w:sz="4" w:space="0" w:color="000000"/>
              <w:right w:val="single" w:sz="4" w:space="0" w:color="000000"/>
            </w:tcBorders>
          </w:tcPr>
          <w:p w14:paraId="1894FA43" w14:textId="77777777" w:rsidR="00C22F9C" w:rsidRDefault="00A8240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Date limite du dépôt des candidatures</w:t>
            </w:r>
          </w:p>
        </w:tc>
        <w:tc>
          <w:tcPr>
            <w:tcW w:w="5940" w:type="dxa"/>
            <w:tcBorders>
              <w:top w:val="single" w:sz="4" w:space="0" w:color="000000"/>
              <w:left w:val="single" w:sz="4" w:space="0" w:color="000000"/>
              <w:bottom w:val="single" w:sz="4" w:space="0" w:color="000000"/>
              <w:right w:val="single" w:sz="4" w:space="0" w:color="000000"/>
            </w:tcBorders>
          </w:tcPr>
          <w:p w14:paraId="26519B0F" w14:textId="0700E445" w:rsidR="00C22F9C" w:rsidRDefault="00DD37C0" w:rsidP="00DD37C0">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6D444D">
              <w:rPr>
                <w:rFonts w:ascii="Times New Roman" w:eastAsia="Times New Roman" w:hAnsi="Times New Roman" w:cs="Times New Roman"/>
                <w:sz w:val="24"/>
                <w:szCs w:val="24"/>
              </w:rPr>
              <w:t xml:space="preserve"> </w:t>
            </w:r>
            <w:r w:rsidR="0065798A">
              <w:rPr>
                <w:rFonts w:ascii="Times New Roman" w:eastAsia="Times New Roman" w:hAnsi="Times New Roman" w:cs="Times New Roman"/>
                <w:sz w:val="24"/>
                <w:szCs w:val="24"/>
              </w:rPr>
              <w:t>Ju</w:t>
            </w:r>
            <w:r>
              <w:rPr>
                <w:rFonts w:ascii="Times New Roman" w:eastAsia="Times New Roman" w:hAnsi="Times New Roman" w:cs="Times New Roman"/>
                <w:sz w:val="24"/>
                <w:szCs w:val="24"/>
              </w:rPr>
              <w:t>illet</w:t>
            </w:r>
            <w:r w:rsidR="0065798A">
              <w:rPr>
                <w:rFonts w:ascii="Times New Roman" w:eastAsia="Times New Roman" w:hAnsi="Times New Roman" w:cs="Times New Roman"/>
                <w:sz w:val="24"/>
                <w:szCs w:val="24"/>
              </w:rPr>
              <w:t xml:space="preserve"> </w:t>
            </w:r>
            <w:r w:rsidR="006D444D">
              <w:rPr>
                <w:rFonts w:ascii="Times New Roman" w:eastAsia="Times New Roman" w:hAnsi="Times New Roman" w:cs="Times New Roman"/>
                <w:sz w:val="24"/>
                <w:szCs w:val="24"/>
              </w:rPr>
              <w:t xml:space="preserve"> 2021</w:t>
            </w:r>
          </w:p>
        </w:tc>
      </w:tr>
      <w:tr w:rsidR="00C22F9C" w14:paraId="16A600AE" w14:textId="77777777">
        <w:tc>
          <w:tcPr>
            <w:tcW w:w="4320" w:type="dxa"/>
            <w:tcBorders>
              <w:top w:val="single" w:sz="4" w:space="0" w:color="000000"/>
              <w:left w:val="single" w:sz="4" w:space="0" w:color="000000"/>
              <w:bottom w:val="single" w:sz="4" w:space="0" w:color="000000"/>
              <w:right w:val="single" w:sz="4" w:space="0" w:color="000000"/>
            </w:tcBorders>
          </w:tcPr>
          <w:p w14:paraId="223CD093" w14:textId="77777777" w:rsidR="00C22F9C" w:rsidRDefault="00A8240B">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Durée de la consultation</w:t>
            </w:r>
          </w:p>
        </w:tc>
        <w:tc>
          <w:tcPr>
            <w:tcW w:w="5940" w:type="dxa"/>
            <w:tcBorders>
              <w:top w:val="single" w:sz="4" w:space="0" w:color="000000"/>
              <w:left w:val="single" w:sz="4" w:space="0" w:color="000000"/>
              <w:bottom w:val="single" w:sz="4" w:space="0" w:color="000000"/>
              <w:right w:val="single" w:sz="4" w:space="0" w:color="000000"/>
            </w:tcBorders>
          </w:tcPr>
          <w:p w14:paraId="121A511A" w14:textId="77777777" w:rsidR="00C22F9C" w:rsidRDefault="00A8240B">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jours (Trente-cinq jours au maximum) </w:t>
            </w:r>
          </w:p>
        </w:tc>
      </w:tr>
    </w:tbl>
    <w:p w14:paraId="7974C975" w14:textId="77777777" w:rsidR="00C22F9C" w:rsidRDefault="00C22F9C">
      <w:pPr>
        <w:spacing w:line="360" w:lineRule="auto"/>
        <w:jc w:val="both"/>
        <w:rPr>
          <w:rFonts w:ascii="Times New Roman" w:eastAsia="Times New Roman" w:hAnsi="Times New Roman" w:cs="Times New Roman"/>
          <w:sz w:val="24"/>
          <w:szCs w:val="24"/>
        </w:rPr>
      </w:pPr>
    </w:p>
    <w:p w14:paraId="10617AD4" w14:textId="77777777" w:rsidR="00C22F9C" w:rsidRDefault="00A8240B">
      <w:pPr>
        <w:numPr>
          <w:ilvl w:val="0"/>
          <w:numId w:val="1"/>
        </w:numPr>
        <w:pBdr>
          <w:top w:val="nil"/>
          <w:left w:val="nil"/>
          <w:bottom w:val="nil"/>
          <w:right w:val="nil"/>
          <w:between w:val="nil"/>
        </w:pBdr>
        <w:spacing w:line="360" w:lineRule="auto"/>
        <w:jc w:val="both"/>
        <w:rPr>
          <w:b/>
          <w:color w:val="000000"/>
          <w:sz w:val="24"/>
          <w:szCs w:val="24"/>
        </w:rPr>
      </w:pPr>
      <w:r>
        <w:rPr>
          <w:rFonts w:ascii="Times New Roman" w:eastAsia="Times New Roman" w:hAnsi="Times New Roman" w:cs="Times New Roman"/>
          <w:b/>
          <w:color w:val="000000"/>
          <w:sz w:val="24"/>
          <w:szCs w:val="24"/>
        </w:rPr>
        <w:t>Contexte et justification</w:t>
      </w:r>
    </w:p>
    <w:p w14:paraId="7F109F57" w14:textId="77777777" w:rsidR="000106A3" w:rsidRDefault="00A8240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roofErr w:type="spellStart"/>
      <w:r>
        <w:rPr>
          <w:rFonts w:ascii="Times New Roman" w:eastAsia="Times New Roman" w:hAnsi="Times New Roman" w:cs="Times New Roman"/>
          <w:sz w:val="24"/>
          <w:szCs w:val="24"/>
        </w:rPr>
        <w:t>Asosyasyon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fanm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Solèy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DAyiti</w:t>
      </w:r>
      <w:proofErr w:type="spellEnd"/>
      <w:r>
        <w:rPr>
          <w:rFonts w:ascii="Times New Roman" w:eastAsia="Times New Roman" w:hAnsi="Times New Roman" w:cs="Times New Roman"/>
          <w:sz w:val="24"/>
          <w:szCs w:val="24"/>
        </w:rPr>
        <w:t xml:space="preserve"> (AFASDA) est une organisation de femmes sans but lucratif, non confessionnel créée le 18 novembre 1997 par un groupe de femmes engagées en vue de promouvoir et défendre les droits des femmes en Haïti. Ses axes d’intervention sont entre autres : Prise en charge intégrée des filles et femmes victimes de VBG, Médiation familiale, l’économie alternative, … etc. Dans un souci d’apporter un meilleur accompagnement aux victimes de violences sexuelles et violences basées sur le genre, elle développe des partenariats avec des instituti</w:t>
      </w:r>
      <w:r w:rsidR="009316B6">
        <w:rPr>
          <w:rFonts w:ascii="Times New Roman" w:eastAsia="Times New Roman" w:hAnsi="Times New Roman" w:cs="Times New Roman"/>
          <w:sz w:val="24"/>
          <w:szCs w:val="24"/>
        </w:rPr>
        <w:t>ons œuvrant dans</w:t>
      </w:r>
      <w:r w:rsidR="000106A3">
        <w:rPr>
          <w:rFonts w:ascii="Times New Roman" w:eastAsia="Times New Roman" w:hAnsi="Times New Roman" w:cs="Times New Roman"/>
          <w:sz w:val="24"/>
          <w:szCs w:val="24"/>
        </w:rPr>
        <w:t xml:space="preserve"> le même champ.</w:t>
      </w:r>
    </w:p>
    <w:p w14:paraId="4841E0A4" w14:textId="77777777" w:rsidR="00DD37C0" w:rsidRDefault="00DD37C0">
      <w:pPr>
        <w:spacing w:line="360" w:lineRule="auto"/>
        <w:jc w:val="both"/>
        <w:rPr>
          <w:rFonts w:ascii="Times New Roman" w:eastAsia="Times New Roman" w:hAnsi="Times New Roman" w:cs="Times New Roman"/>
          <w:sz w:val="24"/>
          <w:szCs w:val="24"/>
        </w:rPr>
      </w:pPr>
    </w:p>
    <w:p w14:paraId="2253C88D" w14:textId="77777777" w:rsidR="00DD37C0" w:rsidRDefault="00DD37C0">
      <w:pPr>
        <w:spacing w:line="360" w:lineRule="auto"/>
        <w:jc w:val="both"/>
        <w:rPr>
          <w:rFonts w:ascii="Times New Roman" w:eastAsia="Times New Roman" w:hAnsi="Times New Roman" w:cs="Times New Roman"/>
          <w:sz w:val="24"/>
          <w:szCs w:val="24"/>
        </w:rPr>
      </w:pPr>
    </w:p>
    <w:p w14:paraId="5620DEEE" w14:textId="3BBDB8CD" w:rsidR="00C22F9C" w:rsidRDefault="000106A3">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L’ONU</w:t>
      </w:r>
      <w:r w:rsidR="00A8240B">
        <w:rPr>
          <w:rFonts w:ascii="Times New Roman" w:eastAsia="Times New Roman" w:hAnsi="Times New Roman" w:cs="Times New Roman"/>
          <w:sz w:val="24"/>
          <w:szCs w:val="24"/>
        </w:rPr>
        <w:t xml:space="preserve"> Femme dans un article intitulé « </w:t>
      </w:r>
      <w:r w:rsidR="00A8240B">
        <w:rPr>
          <w:rFonts w:ascii="Times New Roman" w:eastAsia="Times New Roman" w:hAnsi="Times New Roman" w:cs="Times New Roman"/>
          <w:i/>
          <w:sz w:val="24"/>
          <w:szCs w:val="24"/>
          <w:u w:val="single"/>
        </w:rPr>
        <w:t>Forme de violence à l’égard des femmes et des filles</w:t>
      </w:r>
      <w:r w:rsidR="00A8240B">
        <w:rPr>
          <w:rFonts w:ascii="Times New Roman" w:eastAsia="Times New Roman" w:hAnsi="Times New Roman" w:cs="Times New Roman"/>
          <w:sz w:val="24"/>
          <w:szCs w:val="24"/>
        </w:rPr>
        <w:t> » définit la violence basée sur le genre comme tout type d’acte préjudiciable perpétré contre une personne ou un groupe de personne en raison de leur sexe, de leur genre.</w:t>
      </w:r>
      <w:r w:rsidR="00A8240B">
        <w:rPr>
          <w:rFonts w:ascii="Times New Roman" w:eastAsia="Times New Roman" w:hAnsi="Times New Roman" w:cs="Times New Roman"/>
          <w:color w:val="ED7D31"/>
          <w:sz w:val="24"/>
          <w:szCs w:val="24"/>
        </w:rPr>
        <w:t xml:space="preserve"> </w:t>
      </w:r>
      <w:r w:rsidR="00A8240B">
        <w:rPr>
          <w:rFonts w:ascii="Times New Roman" w:eastAsia="Times New Roman" w:hAnsi="Times New Roman" w:cs="Times New Roman"/>
          <w:sz w:val="24"/>
          <w:szCs w:val="24"/>
        </w:rPr>
        <w:t xml:space="preserve">Suivant un rapport rendu par un organisme des Nations Unies (UNFPA) en mai 2017, elle est l’une des violations des droits fondamentaux les plus fréquentes dans le monde. A l’échelle mondiale, on estime qu’une femme sur trois est victime de violence au cours de son existence. </w:t>
      </w:r>
    </w:p>
    <w:p w14:paraId="461521C2" w14:textId="77777777" w:rsidR="00C22F9C" w:rsidRDefault="00A8240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chaque crise humanitaire quelconque, les femmes et les filles sont celles qui en pâtissent. En Haïti particulièrement, d’après un rapport publié par le MCFDF en 2016, 12 % de femmes déclarent avoir subi la violence sexuelle au moins une fois dans leur vie ; 60% de ses survivantes ont moins de dix-huit ans ; 31 % ont subi ou ce sont exposées à divers types de violences ; 34 % de celles qui sont en couple sont déjà victime de violence conjugale dont 37 % des cas sont constitués de blessures graves. </w:t>
      </w:r>
    </w:p>
    <w:p w14:paraId="33BCEC64" w14:textId="77777777" w:rsidR="00C22F9C" w:rsidRDefault="00A8240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Dans le département du nord-est, spécifiquement dans les communes de Ferrier, </w:t>
      </w:r>
      <w:proofErr w:type="spellStart"/>
      <w:r>
        <w:rPr>
          <w:rFonts w:ascii="Times New Roman" w:eastAsia="Times New Roman" w:hAnsi="Times New Roman" w:cs="Times New Roman"/>
          <w:sz w:val="24"/>
          <w:szCs w:val="24"/>
        </w:rPr>
        <w:t>Ouanaminthe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Capotille</w:t>
      </w:r>
      <w:proofErr w:type="spellEnd"/>
      <w:r>
        <w:rPr>
          <w:rFonts w:ascii="Times New Roman" w:eastAsia="Times New Roman" w:hAnsi="Times New Roman" w:cs="Times New Roman"/>
          <w:sz w:val="24"/>
          <w:szCs w:val="24"/>
        </w:rPr>
        <w:t xml:space="preserve"> et leurs zones avoisinantes, la situation n’est guère différente. Le fait que ce soit des communes frontalières confère une situation particulière pour les habitants de ces zones. </w:t>
      </w:r>
    </w:p>
    <w:p w14:paraId="71C574CB" w14:textId="77777777" w:rsidR="00C22F9C" w:rsidRDefault="00A8240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Les victimes de violences sexuelles et basées sur le genre vivent le calvaire de voir leur dignité, leur autonomie, leur santé et leur sécurité basculées du jour au lendemain. Et de ces malheureux faits peuvent découler des grossesses précoces, des MST, des troubles psychosociales dont les victimes peuvent mettre des années à s’en défaire même avec l’aide d’un professionnel. Leur indignation ne fait que s’accroitre quand les agresseurs restent impunis et continuent à vivre leur quotidien sans se préoccuper des représailles. Ce qui conditionne les victimes à cultiver le silence et à se refermer sur elles-mêmes à chaque fois que la question est abordée.</w:t>
      </w:r>
    </w:p>
    <w:p w14:paraId="706A47D4" w14:textId="77777777" w:rsidR="00C0608B" w:rsidRDefault="00C0608B" w:rsidP="00C0608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C’est dans cette optique que Plan International Haïti (PIH) en partenariat avec AFASDA, a obtenu un financement de l’Union Européenne (UE) pour mettre en œuvre un projet de deux ans dans le Nord-Est visant à renforcer les capacités des organisations de la société civile à prévenir et lutter contre les violences sexuelles et basées sur le genre particulièrement dans les communes de Ferrier, </w:t>
      </w:r>
      <w:proofErr w:type="spellStart"/>
      <w:r>
        <w:rPr>
          <w:rFonts w:ascii="Times New Roman" w:eastAsia="Times New Roman" w:hAnsi="Times New Roman" w:cs="Times New Roman"/>
          <w:sz w:val="24"/>
          <w:szCs w:val="24"/>
        </w:rPr>
        <w:t>Ouanaminthe</w:t>
      </w:r>
      <w:proofErr w:type="spellEnd"/>
      <w:r>
        <w:rPr>
          <w:rFonts w:ascii="Times New Roman" w:eastAsia="Times New Roman" w:hAnsi="Times New Roman" w:cs="Times New Roman"/>
          <w:sz w:val="24"/>
          <w:szCs w:val="24"/>
        </w:rPr>
        <w:t xml:space="preserve"> et de </w:t>
      </w:r>
      <w:proofErr w:type="spellStart"/>
      <w:r>
        <w:rPr>
          <w:rFonts w:ascii="Times New Roman" w:eastAsia="Times New Roman" w:hAnsi="Times New Roman" w:cs="Times New Roman"/>
          <w:sz w:val="24"/>
          <w:szCs w:val="24"/>
        </w:rPr>
        <w:t>Capotille</w:t>
      </w:r>
      <w:proofErr w:type="spellEnd"/>
      <w:r>
        <w:rPr>
          <w:rFonts w:ascii="Times New Roman" w:eastAsia="Times New Roman" w:hAnsi="Times New Roman" w:cs="Times New Roman"/>
          <w:sz w:val="24"/>
          <w:szCs w:val="24"/>
        </w:rPr>
        <w:t xml:space="preserve">. </w:t>
      </w:r>
    </w:p>
    <w:p w14:paraId="677AE32E" w14:textId="77777777" w:rsidR="00C0608B" w:rsidRDefault="00C0608B">
      <w:pPr>
        <w:spacing w:line="360" w:lineRule="auto"/>
        <w:jc w:val="both"/>
        <w:rPr>
          <w:rFonts w:ascii="Times New Roman" w:eastAsia="Times New Roman" w:hAnsi="Times New Roman" w:cs="Times New Roman"/>
          <w:sz w:val="24"/>
          <w:szCs w:val="24"/>
        </w:rPr>
      </w:pPr>
    </w:p>
    <w:p w14:paraId="3F1E7FFD" w14:textId="4EA6D90E" w:rsidR="00C22F9C" w:rsidRDefault="00A8240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Les situations de VSBG ne sont pas inexistantes dans les zones ciblées par le projet. </w:t>
      </w:r>
      <w:r w:rsidR="0015600C">
        <w:rPr>
          <w:rFonts w:ascii="Times New Roman" w:eastAsia="Times New Roman" w:hAnsi="Times New Roman" w:cs="Times New Roman"/>
          <w:sz w:val="24"/>
          <w:szCs w:val="24"/>
        </w:rPr>
        <w:t>À</w:t>
      </w:r>
      <w:r w:rsidR="00C0608B">
        <w:rPr>
          <w:rFonts w:ascii="Times New Roman" w:eastAsia="Times New Roman" w:hAnsi="Times New Roman" w:cs="Times New Roman"/>
          <w:sz w:val="24"/>
          <w:szCs w:val="24"/>
        </w:rPr>
        <w:t xml:space="preserve"> travers ce projet, il est envisagé de conduire une </w:t>
      </w:r>
      <w:r>
        <w:rPr>
          <w:rFonts w:ascii="Times New Roman" w:eastAsia="Times New Roman" w:hAnsi="Times New Roman" w:cs="Times New Roman"/>
          <w:sz w:val="24"/>
          <w:szCs w:val="24"/>
        </w:rPr>
        <w:t xml:space="preserve">étude </w:t>
      </w:r>
      <w:r w:rsidR="00C0608B">
        <w:rPr>
          <w:rFonts w:ascii="Times New Roman" w:eastAsia="Times New Roman" w:hAnsi="Times New Roman" w:cs="Times New Roman"/>
          <w:sz w:val="24"/>
          <w:szCs w:val="24"/>
        </w:rPr>
        <w:t xml:space="preserve">qui </w:t>
      </w:r>
      <w:r>
        <w:rPr>
          <w:rFonts w:ascii="Times New Roman" w:eastAsia="Times New Roman" w:hAnsi="Times New Roman" w:cs="Times New Roman"/>
          <w:sz w:val="24"/>
          <w:szCs w:val="24"/>
        </w:rPr>
        <w:t>est capitale pour AFASDA aux fins d’agir en conséquence sur des lignes bien spécifiques de concert avec son partenaire Plan-International Haïti.</w:t>
      </w:r>
    </w:p>
    <w:p w14:paraId="36D3D5CC" w14:textId="7B42F05A" w:rsidR="00561EFC" w:rsidRPr="009614D9" w:rsidRDefault="00561EFC" w:rsidP="00561EFC">
      <w:pPr>
        <w:pStyle w:val="ListParagraph"/>
        <w:numPr>
          <w:ilvl w:val="0"/>
          <w:numId w:val="18"/>
        </w:numPr>
        <w:spacing w:line="360" w:lineRule="auto"/>
        <w:jc w:val="both"/>
        <w:rPr>
          <w:rFonts w:ascii="Times New Roman" w:eastAsia="Times New Roman" w:hAnsi="Times New Roman" w:cs="Times New Roman"/>
          <w:b/>
          <w:sz w:val="24"/>
          <w:szCs w:val="24"/>
        </w:rPr>
      </w:pPr>
      <w:r w:rsidRPr="009614D9">
        <w:rPr>
          <w:rFonts w:ascii="Times New Roman" w:eastAsia="Times New Roman" w:hAnsi="Times New Roman" w:cs="Times New Roman"/>
          <w:b/>
          <w:sz w:val="24"/>
          <w:szCs w:val="24"/>
        </w:rPr>
        <w:t>Objectif</w:t>
      </w:r>
      <w:r w:rsidR="009614D9">
        <w:rPr>
          <w:rFonts w:ascii="Times New Roman" w:eastAsia="Times New Roman" w:hAnsi="Times New Roman" w:cs="Times New Roman"/>
          <w:b/>
          <w:sz w:val="24"/>
          <w:szCs w:val="24"/>
        </w:rPr>
        <w:t xml:space="preserve"> et résultats</w:t>
      </w:r>
      <w:r w:rsidRPr="009614D9">
        <w:rPr>
          <w:rFonts w:ascii="Times New Roman" w:eastAsia="Times New Roman" w:hAnsi="Times New Roman" w:cs="Times New Roman"/>
          <w:b/>
          <w:sz w:val="24"/>
          <w:szCs w:val="24"/>
        </w:rPr>
        <w:t xml:space="preserve"> du projet </w:t>
      </w:r>
    </w:p>
    <w:p w14:paraId="2C80703E" w14:textId="57686D02" w:rsidR="009614D9" w:rsidRPr="009614D9" w:rsidRDefault="009614D9" w:rsidP="009614D9">
      <w:pPr>
        <w:spacing w:line="360" w:lineRule="auto"/>
        <w:jc w:val="both"/>
        <w:rPr>
          <w:rFonts w:ascii="Times New Roman" w:eastAsia="Times New Roman" w:hAnsi="Times New Roman" w:cs="Times New Roman"/>
          <w:b/>
          <w:sz w:val="24"/>
          <w:szCs w:val="24"/>
        </w:rPr>
      </w:pPr>
      <w:r w:rsidRPr="009614D9">
        <w:rPr>
          <w:rFonts w:ascii="Times New Roman" w:eastAsia="Times New Roman" w:hAnsi="Times New Roman" w:cs="Times New Roman"/>
          <w:b/>
          <w:sz w:val="24"/>
          <w:szCs w:val="24"/>
        </w:rPr>
        <w:t>A.1 Objectif général du projet</w:t>
      </w:r>
    </w:p>
    <w:p w14:paraId="319CF137" w14:textId="1637FF7C" w:rsidR="00561EFC" w:rsidRDefault="009614D9" w:rsidP="009614D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9614D9">
        <w:rPr>
          <w:rFonts w:ascii="Times New Roman" w:eastAsia="Times New Roman" w:hAnsi="Times New Roman" w:cs="Times New Roman"/>
          <w:sz w:val="24"/>
          <w:szCs w:val="24"/>
        </w:rPr>
        <w:t>ontribuer au renforcement</w:t>
      </w:r>
      <w:r>
        <w:rPr>
          <w:rFonts w:ascii="Times New Roman" w:eastAsia="Times New Roman" w:hAnsi="Times New Roman" w:cs="Times New Roman"/>
          <w:sz w:val="24"/>
          <w:szCs w:val="24"/>
        </w:rPr>
        <w:t xml:space="preserve"> </w:t>
      </w:r>
      <w:r w:rsidRPr="009614D9">
        <w:rPr>
          <w:rFonts w:ascii="Times New Roman" w:eastAsia="Times New Roman" w:hAnsi="Times New Roman" w:cs="Times New Roman"/>
          <w:sz w:val="24"/>
          <w:szCs w:val="24"/>
        </w:rPr>
        <w:t>des organisations de la société civile en</w:t>
      </w:r>
      <w:r>
        <w:rPr>
          <w:rFonts w:ascii="Times New Roman" w:eastAsia="Times New Roman" w:hAnsi="Times New Roman" w:cs="Times New Roman"/>
          <w:sz w:val="24"/>
          <w:szCs w:val="24"/>
        </w:rPr>
        <w:t xml:space="preserve"> </w:t>
      </w:r>
      <w:r w:rsidRPr="009614D9">
        <w:rPr>
          <w:rFonts w:ascii="Times New Roman" w:eastAsia="Times New Roman" w:hAnsi="Times New Roman" w:cs="Times New Roman"/>
          <w:sz w:val="24"/>
          <w:szCs w:val="24"/>
        </w:rPr>
        <w:t>Haïti en tant qu’acteurs clés dans la</w:t>
      </w:r>
      <w:r>
        <w:rPr>
          <w:rFonts w:ascii="Times New Roman" w:eastAsia="Times New Roman" w:hAnsi="Times New Roman" w:cs="Times New Roman"/>
          <w:sz w:val="24"/>
          <w:szCs w:val="24"/>
        </w:rPr>
        <w:t xml:space="preserve"> </w:t>
      </w:r>
      <w:r w:rsidRPr="009614D9">
        <w:rPr>
          <w:rFonts w:ascii="Times New Roman" w:eastAsia="Times New Roman" w:hAnsi="Times New Roman" w:cs="Times New Roman"/>
          <w:sz w:val="24"/>
          <w:szCs w:val="24"/>
        </w:rPr>
        <w:t>prévention et la lutte contre les violences</w:t>
      </w:r>
      <w:r>
        <w:rPr>
          <w:rFonts w:ascii="Times New Roman" w:eastAsia="Times New Roman" w:hAnsi="Times New Roman" w:cs="Times New Roman"/>
          <w:sz w:val="24"/>
          <w:szCs w:val="24"/>
        </w:rPr>
        <w:t xml:space="preserve"> </w:t>
      </w:r>
      <w:r w:rsidRPr="009614D9">
        <w:rPr>
          <w:rFonts w:ascii="Times New Roman" w:eastAsia="Times New Roman" w:hAnsi="Times New Roman" w:cs="Times New Roman"/>
          <w:sz w:val="24"/>
          <w:szCs w:val="24"/>
        </w:rPr>
        <w:t>faites aux femmes et aux filles.</w:t>
      </w:r>
    </w:p>
    <w:p w14:paraId="7D51073E" w14:textId="573E70CE" w:rsidR="009614D9" w:rsidRPr="009614D9" w:rsidRDefault="009614D9" w:rsidP="009614D9">
      <w:pPr>
        <w:spacing w:line="360" w:lineRule="auto"/>
        <w:jc w:val="both"/>
        <w:rPr>
          <w:rFonts w:ascii="Times New Roman" w:eastAsia="Times New Roman" w:hAnsi="Times New Roman" w:cs="Times New Roman"/>
          <w:b/>
          <w:sz w:val="24"/>
          <w:szCs w:val="24"/>
        </w:rPr>
      </w:pPr>
      <w:r w:rsidRPr="009614D9">
        <w:rPr>
          <w:rFonts w:ascii="Times New Roman" w:eastAsia="Times New Roman" w:hAnsi="Times New Roman" w:cs="Times New Roman"/>
          <w:b/>
          <w:sz w:val="24"/>
          <w:szCs w:val="24"/>
        </w:rPr>
        <w:t xml:space="preserve">A.2 Objectif spécifique du projet </w:t>
      </w:r>
    </w:p>
    <w:p w14:paraId="734C7557" w14:textId="0C796EEF" w:rsidR="009614D9" w:rsidRDefault="009614D9" w:rsidP="009614D9">
      <w:pPr>
        <w:spacing w:line="360" w:lineRule="auto"/>
        <w:jc w:val="both"/>
        <w:rPr>
          <w:rFonts w:ascii="Times New Roman" w:eastAsia="Times New Roman" w:hAnsi="Times New Roman" w:cs="Times New Roman"/>
          <w:sz w:val="24"/>
          <w:szCs w:val="24"/>
        </w:rPr>
      </w:pPr>
      <w:r w:rsidRPr="009614D9">
        <w:rPr>
          <w:rFonts w:ascii="Times New Roman" w:eastAsia="Times New Roman" w:hAnsi="Times New Roman" w:cs="Times New Roman"/>
          <w:sz w:val="24"/>
          <w:szCs w:val="24"/>
        </w:rPr>
        <w:t>Les organisations de la</w:t>
      </w:r>
      <w:r>
        <w:rPr>
          <w:rFonts w:ascii="Times New Roman" w:eastAsia="Times New Roman" w:hAnsi="Times New Roman" w:cs="Times New Roman"/>
          <w:sz w:val="24"/>
          <w:szCs w:val="24"/>
        </w:rPr>
        <w:t xml:space="preserve"> </w:t>
      </w:r>
      <w:r w:rsidRPr="009614D9">
        <w:rPr>
          <w:rFonts w:ascii="Times New Roman" w:eastAsia="Times New Roman" w:hAnsi="Times New Roman" w:cs="Times New Roman"/>
          <w:sz w:val="24"/>
          <w:szCs w:val="24"/>
        </w:rPr>
        <w:t>société civile haïtienne dans le département</w:t>
      </w:r>
      <w:r>
        <w:rPr>
          <w:rFonts w:ascii="Times New Roman" w:eastAsia="Times New Roman" w:hAnsi="Times New Roman" w:cs="Times New Roman"/>
          <w:sz w:val="24"/>
          <w:szCs w:val="24"/>
        </w:rPr>
        <w:t xml:space="preserve"> </w:t>
      </w:r>
      <w:r w:rsidRPr="009614D9">
        <w:rPr>
          <w:rFonts w:ascii="Times New Roman" w:eastAsia="Times New Roman" w:hAnsi="Times New Roman" w:cs="Times New Roman"/>
          <w:sz w:val="24"/>
          <w:szCs w:val="24"/>
        </w:rPr>
        <w:t>du Nord Est jouent un rôle leader dans la</w:t>
      </w:r>
      <w:r>
        <w:rPr>
          <w:rFonts w:ascii="Times New Roman" w:eastAsia="Times New Roman" w:hAnsi="Times New Roman" w:cs="Times New Roman"/>
          <w:sz w:val="24"/>
          <w:szCs w:val="24"/>
        </w:rPr>
        <w:t xml:space="preserve"> </w:t>
      </w:r>
      <w:r w:rsidRPr="009614D9">
        <w:rPr>
          <w:rFonts w:ascii="Times New Roman" w:eastAsia="Times New Roman" w:hAnsi="Times New Roman" w:cs="Times New Roman"/>
          <w:sz w:val="24"/>
          <w:szCs w:val="24"/>
        </w:rPr>
        <w:t>prévention et la lutte contre les violences</w:t>
      </w:r>
      <w:r>
        <w:rPr>
          <w:rFonts w:ascii="Times New Roman" w:eastAsia="Times New Roman" w:hAnsi="Times New Roman" w:cs="Times New Roman"/>
          <w:sz w:val="24"/>
          <w:szCs w:val="24"/>
        </w:rPr>
        <w:t xml:space="preserve"> </w:t>
      </w:r>
      <w:r w:rsidRPr="009614D9">
        <w:rPr>
          <w:rFonts w:ascii="Times New Roman" w:eastAsia="Times New Roman" w:hAnsi="Times New Roman" w:cs="Times New Roman"/>
          <w:sz w:val="24"/>
          <w:szCs w:val="24"/>
        </w:rPr>
        <w:t>sexuelles et basées sur le genre</w:t>
      </w:r>
      <w:r>
        <w:rPr>
          <w:rFonts w:ascii="Times New Roman" w:eastAsia="Times New Roman" w:hAnsi="Times New Roman" w:cs="Times New Roman"/>
          <w:sz w:val="24"/>
          <w:szCs w:val="24"/>
        </w:rPr>
        <w:t>.</w:t>
      </w:r>
    </w:p>
    <w:p w14:paraId="29A17D00" w14:textId="1AB5832A" w:rsidR="009614D9" w:rsidRPr="009614D9" w:rsidRDefault="009614D9" w:rsidP="009614D9">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A.3 </w:t>
      </w:r>
      <w:r w:rsidRPr="009614D9">
        <w:rPr>
          <w:rFonts w:ascii="Times New Roman" w:eastAsia="Times New Roman" w:hAnsi="Times New Roman" w:cs="Times New Roman"/>
          <w:b/>
          <w:sz w:val="24"/>
          <w:szCs w:val="24"/>
        </w:rPr>
        <w:t>Résultats visés par le projet</w:t>
      </w:r>
    </w:p>
    <w:p w14:paraId="5FC03A51" w14:textId="6D849BE3" w:rsidR="009614D9" w:rsidRPr="00DB3F7D" w:rsidRDefault="009614D9" w:rsidP="00DB3F7D">
      <w:pPr>
        <w:pStyle w:val="ListParagraph"/>
        <w:numPr>
          <w:ilvl w:val="0"/>
          <w:numId w:val="19"/>
        </w:numPr>
        <w:spacing w:line="360" w:lineRule="auto"/>
        <w:jc w:val="both"/>
        <w:rPr>
          <w:rFonts w:ascii="Times New Roman" w:eastAsia="Times New Roman" w:hAnsi="Times New Roman" w:cs="Times New Roman"/>
          <w:sz w:val="24"/>
          <w:szCs w:val="24"/>
        </w:rPr>
      </w:pPr>
      <w:r w:rsidRPr="00DB3F7D">
        <w:rPr>
          <w:rFonts w:ascii="Times New Roman" w:eastAsia="Times New Roman" w:hAnsi="Times New Roman" w:cs="Times New Roman"/>
          <w:sz w:val="24"/>
          <w:szCs w:val="24"/>
        </w:rPr>
        <w:t>Renforcer les capacités des OSC afin de lutter plus efficacement contre les VSBG et améliorer la disponibilité et la qualité des services fournis aux survivantes.</w:t>
      </w:r>
    </w:p>
    <w:p w14:paraId="6C8A2764" w14:textId="3F0280F8" w:rsidR="009614D9" w:rsidRPr="00DB3F7D" w:rsidRDefault="009614D9" w:rsidP="00DB3F7D">
      <w:pPr>
        <w:pStyle w:val="ListParagraph"/>
        <w:numPr>
          <w:ilvl w:val="0"/>
          <w:numId w:val="19"/>
        </w:numPr>
        <w:spacing w:line="360" w:lineRule="auto"/>
        <w:jc w:val="both"/>
        <w:rPr>
          <w:rFonts w:ascii="Times New Roman" w:eastAsia="Times New Roman" w:hAnsi="Times New Roman" w:cs="Times New Roman"/>
          <w:sz w:val="24"/>
          <w:szCs w:val="24"/>
        </w:rPr>
      </w:pPr>
      <w:r w:rsidRPr="00DB3F7D">
        <w:rPr>
          <w:rFonts w:ascii="Times New Roman" w:eastAsia="Times New Roman" w:hAnsi="Times New Roman" w:cs="Times New Roman"/>
          <w:sz w:val="24"/>
          <w:szCs w:val="24"/>
        </w:rPr>
        <w:t>Renforcer les capacités professionnelles des jeunes filles et femmes pour favoriser leur autonomisation économique</w:t>
      </w:r>
    </w:p>
    <w:p w14:paraId="0B160BBC" w14:textId="5715EC08" w:rsidR="009614D9" w:rsidRPr="00DB3F7D" w:rsidRDefault="009614D9" w:rsidP="00DB3F7D">
      <w:pPr>
        <w:pStyle w:val="ListParagraph"/>
        <w:numPr>
          <w:ilvl w:val="0"/>
          <w:numId w:val="19"/>
        </w:numPr>
        <w:spacing w:line="360" w:lineRule="auto"/>
        <w:jc w:val="both"/>
        <w:rPr>
          <w:rFonts w:ascii="Times New Roman" w:eastAsia="Times New Roman" w:hAnsi="Times New Roman" w:cs="Times New Roman"/>
          <w:sz w:val="24"/>
          <w:szCs w:val="24"/>
        </w:rPr>
      </w:pPr>
      <w:r w:rsidRPr="00DB3F7D">
        <w:rPr>
          <w:rFonts w:ascii="Times New Roman" w:eastAsia="Times New Roman" w:hAnsi="Times New Roman" w:cs="Times New Roman"/>
          <w:sz w:val="24"/>
          <w:szCs w:val="24"/>
        </w:rPr>
        <w:t>Mobiliser les familles, communautés et permettre une remise en question des normes et stéréotypes en favorisant le dialogue communautaire, la masculinité positive, les actions de sensibilisation sur l’égalité entre les sexes.</w:t>
      </w:r>
    </w:p>
    <w:p w14:paraId="5A02CDF0" w14:textId="467FE4C3" w:rsidR="009614D9" w:rsidRDefault="009614D9" w:rsidP="00DB3F7D">
      <w:pPr>
        <w:pStyle w:val="ListParagraph"/>
        <w:numPr>
          <w:ilvl w:val="0"/>
          <w:numId w:val="19"/>
        </w:numPr>
        <w:spacing w:line="360" w:lineRule="auto"/>
        <w:jc w:val="both"/>
        <w:rPr>
          <w:rFonts w:ascii="Times New Roman" w:eastAsia="Times New Roman" w:hAnsi="Times New Roman" w:cs="Times New Roman"/>
          <w:sz w:val="24"/>
          <w:szCs w:val="24"/>
        </w:rPr>
      </w:pPr>
      <w:r w:rsidRPr="00DB3F7D">
        <w:rPr>
          <w:rFonts w:ascii="Times New Roman" w:eastAsia="Times New Roman" w:hAnsi="Times New Roman" w:cs="Times New Roman"/>
          <w:sz w:val="24"/>
          <w:szCs w:val="24"/>
        </w:rPr>
        <w:t>Impliquer les gouvernements et institutions à l’échelle locale par le rapprochement des autorités et de la société civile notamment, en fournissant une plateforme d’échanges pour la promotion, l’application et la protection des droits des filles et femmes.</w:t>
      </w:r>
    </w:p>
    <w:p w14:paraId="7426BB26" w14:textId="77777777" w:rsidR="00DB3F7D" w:rsidRPr="00DB3F7D" w:rsidRDefault="00DB3F7D" w:rsidP="00DB3F7D">
      <w:pPr>
        <w:pStyle w:val="ListParagraph"/>
        <w:spacing w:line="360" w:lineRule="auto"/>
        <w:jc w:val="both"/>
        <w:rPr>
          <w:rFonts w:ascii="Times New Roman" w:eastAsia="Times New Roman" w:hAnsi="Times New Roman" w:cs="Times New Roman"/>
          <w:sz w:val="24"/>
          <w:szCs w:val="24"/>
        </w:rPr>
      </w:pPr>
    </w:p>
    <w:p w14:paraId="1020EAA6" w14:textId="3D307B80" w:rsidR="00C22F9C" w:rsidRPr="00DB3F7D" w:rsidRDefault="00A8240B" w:rsidP="00DB3F7D">
      <w:pPr>
        <w:pStyle w:val="ListParagraph"/>
        <w:numPr>
          <w:ilvl w:val="0"/>
          <w:numId w:val="18"/>
        </w:numPr>
        <w:pBdr>
          <w:top w:val="nil"/>
          <w:left w:val="nil"/>
          <w:bottom w:val="nil"/>
          <w:right w:val="nil"/>
          <w:between w:val="nil"/>
        </w:pBdr>
        <w:spacing w:line="360" w:lineRule="auto"/>
        <w:jc w:val="both"/>
        <w:rPr>
          <w:b/>
          <w:color w:val="000000"/>
          <w:sz w:val="24"/>
          <w:szCs w:val="24"/>
        </w:rPr>
      </w:pPr>
      <w:r w:rsidRPr="00DB3F7D">
        <w:rPr>
          <w:rFonts w:ascii="Times New Roman" w:eastAsia="Times New Roman" w:hAnsi="Times New Roman" w:cs="Times New Roman"/>
          <w:b/>
          <w:color w:val="000000"/>
          <w:sz w:val="24"/>
          <w:szCs w:val="24"/>
        </w:rPr>
        <w:t>Objectifs de l’étude</w:t>
      </w:r>
    </w:p>
    <w:p w14:paraId="49C76747" w14:textId="77777777" w:rsidR="00144CB1" w:rsidRDefault="00A8240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Cette étude a pour objectif de documenter les VSBG à partir des informations quantitatives et qualitatives fiables qui permettront à AFASDA et ses partenaires de développer des stratégies et </w:t>
      </w:r>
    </w:p>
    <w:p w14:paraId="6F29813B" w14:textId="77777777" w:rsidR="00144CB1" w:rsidRDefault="00144CB1">
      <w:pPr>
        <w:spacing w:line="360" w:lineRule="auto"/>
        <w:jc w:val="both"/>
        <w:rPr>
          <w:rFonts w:ascii="Times New Roman" w:eastAsia="Times New Roman" w:hAnsi="Times New Roman" w:cs="Times New Roman"/>
          <w:sz w:val="24"/>
          <w:szCs w:val="24"/>
        </w:rPr>
      </w:pPr>
    </w:p>
    <w:p w14:paraId="59D69EB2" w14:textId="01D1EFD4" w:rsidR="00C22F9C" w:rsidRDefault="00A8240B">
      <w:pPr>
        <w:spacing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des</w:t>
      </w:r>
      <w:proofErr w:type="gramEnd"/>
      <w:r>
        <w:rPr>
          <w:rFonts w:ascii="Times New Roman" w:eastAsia="Times New Roman" w:hAnsi="Times New Roman" w:cs="Times New Roman"/>
          <w:sz w:val="24"/>
          <w:szCs w:val="24"/>
        </w:rPr>
        <w:t xml:space="preserve"> actions pour combattre la violence basée sur le genre.</w:t>
      </w:r>
      <w:r w:rsidR="00DB3F7D">
        <w:rPr>
          <w:rFonts w:ascii="Times New Roman" w:eastAsia="Times New Roman" w:hAnsi="Times New Roman" w:cs="Times New Roman"/>
          <w:sz w:val="24"/>
          <w:szCs w:val="24"/>
        </w:rPr>
        <w:t xml:space="preserve"> Cette étude visera spécifiquement l’alimentation de quelques indicateurs du projet en fournissant des données de base et l’exploration d’autres aspects liés à la VBG.</w:t>
      </w:r>
    </w:p>
    <w:p w14:paraId="1992FBF1" w14:textId="77777777" w:rsidR="00C22F9C" w:rsidRDefault="00A8240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Les objectifs spécifiques sont les suivants :</w:t>
      </w:r>
    </w:p>
    <w:p w14:paraId="7FABA2AE" w14:textId="334BD574" w:rsidR="00DB3F7D" w:rsidRPr="00414498" w:rsidRDefault="00DB3F7D" w:rsidP="00DB3F7D">
      <w:pPr>
        <w:pStyle w:val="ListParagraph"/>
        <w:numPr>
          <w:ilvl w:val="0"/>
          <w:numId w:val="20"/>
        </w:numPr>
        <w:spacing w:line="360" w:lineRule="auto"/>
        <w:jc w:val="both"/>
        <w:rPr>
          <w:rFonts w:ascii="Times New Roman" w:eastAsia="Times New Roman" w:hAnsi="Times New Roman" w:cs="Times New Roman"/>
          <w:b/>
          <w:sz w:val="24"/>
          <w:szCs w:val="24"/>
        </w:rPr>
      </w:pPr>
      <w:r w:rsidRPr="00414498">
        <w:rPr>
          <w:rFonts w:ascii="Times New Roman" w:eastAsia="Times New Roman" w:hAnsi="Times New Roman" w:cs="Times New Roman"/>
          <w:b/>
          <w:sz w:val="24"/>
          <w:szCs w:val="24"/>
        </w:rPr>
        <w:t xml:space="preserve">Fournir des données de base aux indicateurs suivants du projet : </w:t>
      </w:r>
    </w:p>
    <w:p w14:paraId="4218C9CD" w14:textId="7D393EB7" w:rsidR="00DB3F7D" w:rsidRPr="00DB3F7D" w:rsidRDefault="00DB3F7D" w:rsidP="00414498">
      <w:pPr>
        <w:numPr>
          <w:ilvl w:val="2"/>
          <w:numId w:val="17"/>
        </w:numPr>
        <w:autoSpaceDE w:val="0"/>
        <w:autoSpaceDN w:val="0"/>
        <w:adjustRightInd w:val="0"/>
        <w:spacing w:after="0" w:line="360" w:lineRule="auto"/>
        <w:jc w:val="both"/>
        <w:rPr>
          <w:rFonts w:ascii="Times New Roman" w:eastAsia="MS Mincho" w:hAnsi="Times New Roman" w:cs="Times New Roman"/>
          <w:color w:val="000000"/>
          <w:sz w:val="24"/>
          <w:szCs w:val="24"/>
          <w:lang w:val="fr-CA"/>
        </w:rPr>
      </w:pPr>
      <w:r w:rsidRPr="00DB3F7D">
        <w:rPr>
          <w:rFonts w:ascii="Times New Roman" w:eastAsia="Times New Roman" w:hAnsi="Times New Roman" w:cs="Times New Roman"/>
          <w:bCs/>
          <w:color w:val="000000"/>
          <w:sz w:val="24"/>
          <w:szCs w:val="24"/>
        </w:rPr>
        <w:t># d’OSC reconnues par les communautés et acteurs étatiques comme les acteurs importants dans la lutte contre le VSBG</w:t>
      </w:r>
      <w:r w:rsidR="00414498">
        <w:rPr>
          <w:rFonts w:ascii="Times New Roman" w:eastAsia="Times New Roman" w:hAnsi="Times New Roman" w:cs="Times New Roman"/>
          <w:bCs/>
          <w:color w:val="000000"/>
          <w:sz w:val="24"/>
          <w:szCs w:val="24"/>
        </w:rPr>
        <w:t>.</w:t>
      </w:r>
    </w:p>
    <w:p w14:paraId="4C029CC8" w14:textId="1827F250" w:rsidR="00DB3F7D" w:rsidRPr="00DB3F7D" w:rsidRDefault="00DB3F7D" w:rsidP="00414498">
      <w:pPr>
        <w:numPr>
          <w:ilvl w:val="2"/>
          <w:numId w:val="17"/>
        </w:numPr>
        <w:autoSpaceDE w:val="0"/>
        <w:autoSpaceDN w:val="0"/>
        <w:adjustRightInd w:val="0"/>
        <w:spacing w:after="0" w:line="360" w:lineRule="auto"/>
        <w:jc w:val="both"/>
        <w:rPr>
          <w:rFonts w:ascii="Times New Roman" w:eastAsia="MS Mincho" w:hAnsi="Times New Roman" w:cs="Times New Roman"/>
          <w:color w:val="000000"/>
          <w:sz w:val="24"/>
          <w:szCs w:val="24"/>
          <w:lang w:val="fr-CA"/>
        </w:rPr>
      </w:pPr>
      <w:r w:rsidRPr="00DB3F7D">
        <w:rPr>
          <w:rFonts w:ascii="Times New Roman" w:eastAsia="Times New Roman" w:hAnsi="Times New Roman" w:cs="Times New Roman"/>
          <w:bCs/>
          <w:color w:val="000000"/>
          <w:sz w:val="24"/>
          <w:szCs w:val="24"/>
        </w:rPr>
        <w:t># d’OSC qui proposent des services d’assistance améliorées dans les zones cibles</w:t>
      </w:r>
      <w:r w:rsidR="00414498">
        <w:rPr>
          <w:rFonts w:ascii="Times New Roman" w:eastAsia="Times New Roman" w:hAnsi="Times New Roman" w:cs="Times New Roman"/>
          <w:bCs/>
          <w:color w:val="000000"/>
          <w:sz w:val="24"/>
          <w:szCs w:val="24"/>
        </w:rPr>
        <w:t>.</w:t>
      </w:r>
    </w:p>
    <w:p w14:paraId="1B45804C" w14:textId="4F87960B" w:rsidR="00DB3F7D" w:rsidRPr="00DB3F7D" w:rsidRDefault="00DB3F7D" w:rsidP="00414498">
      <w:pPr>
        <w:numPr>
          <w:ilvl w:val="2"/>
          <w:numId w:val="17"/>
        </w:numPr>
        <w:autoSpaceDE w:val="0"/>
        <w:autoSpaceDN w:val="0"/>
        <w:adjustRightInd w:val="0"/>
        <w:spacing w:after="0" w:line="360" w:lineRule="auto"/>
        <w:jc w:val="both"/>
        <w:rPr>
          <w:rFonts w:ascii="Times New Roman" w:eastAsia="MS Mincho" w:hAnsi="Times New Roman" w:cs="Times New Roman"/>
          <w:color w:val="000000"/>
          <w:sz w:val="24"/>
          <w:szCs w:val="24"/>
          <w:lang w:val="fr-CA"/>
        </w:rPr>
      </w:pPr>
      <w:r w:rsidRPr="00DB3F7D">
        <w:rPr>
          <w:rFonts w:ascii="Times New Roman" w:eastAsia="Times New Roman" w:hAnsi="Times New Roman" w:cs="Times New Roman"/>
          <w:bCs/>
          <w:color w:val="000000"/>
          <w:sz w:val="24"/>
          <w:szCs w:val="24"/>
        </w:rPr>
        <w:t># d’OS</w:t>
      </w:r>
      <w:r w:rsidRPr="00DB3F7D">
        <w:rPr>
          <w:rFonts w:ascii="Times New Roman" w:hAnsi="Times New Roman" w:cs="Times New Roman"/>
          <w:sz w:val="24"/>
          <w:szCs w:val="24"/>
        </w:rPr>
        <w:t>C qui travaillent pour la promotion des droits économiques et la génération de revenus des jeunes femmes, avec une attention spéciale aux survivantes de violences sexuell</w:t>
      </w:r>
      <w:r w:rsidRPr="00DB3F7D">
        <w:rPr>
          <w:rFonts w:ascii="Times New Roman" w:eastAsia="Times New Roman" w:hAnsi="Times New Roman" w:cs="Times New Roman"/>
          <w:bCs/>
          <w:color w:val="000000"/>
          <w:sz w:val="24"/>
          <w:szCs w:val="24"/>
        </w:rPr>
        <w:t>e</w:t>
      </w:r>
      <w:r w:rsidR="00414498">
        <w:rPr>
          <w:rFonts w:ascii="Times New Roman" w:eastAsia="Times New Roman" w:hAnsi="Times New Roman" w:cs="Times New Roman"/>
          <w:bCs/>
          <w:color w:val="000000"/>
          <w:sz w:val="24"/>
          <w:szCs w:val="24"/>
        </w:rPr>
        <w:t>.</w:t>
      </w:r>
    </w:p>
    <w:p w14:paraId="54579CB4" w14:textId="600E9079" w:rsidR="00DB3F7D" w:rsidRPr="00DB3F7D" w:rsidRDefault="00DB3F7D" w:rsidP="00414498">
      <w:pPr>
        <w:numPr>
          <w:ilvl w:val="2"/>
          <w:numId w:val="17"/>
        </w:numPr>
        <w:autoSpaceDE w:val="0"/>
        <w:autoSpaceDN w:val="0"/>
        <w:adjustRightInd w:val="0"/>
        <w:spacing w:after="0" w:line="360" w:lineRule="auto"/>
        <w:jc w:val="both"/>
        <w:rPr>
          <w:rFonts w:ascii="Times New Roman" w:eastAsia="MS Mincho" w:hAnsi="Times New Roman" w:cs="Times New Roman"/>
          <w:color w:val="000000"/>
          <w:sz w:val="24"/>
          <w:szCs w:val="24"/>
          <w:lang w:val="fr-CA"/>
        </w:rPr>
      </w:pPr>
      <w:r w:rsidRPr="00DB3F7D">
        <w:rPr>
          <w:rFonts w:ascii="Times New Roman" w:eastAsia="Times New Roman" w:hAnsi="Times New Roman" w:cs="Times New Roman"/>
          <w:bCs/>
          <w:color w:val="000000"/>
          <w:sz w:val="24"/>
          <w:szCs w:val="24"/>
        </w:rPr>
        <w:t># de filles, jeunes femmes, garçons et jeunes hommes</w:t>
      </w:r>
      <w:r w:rsidR="00991DDC">
        <w:rPr>
          <w:rFonts w:ascii="Times New Roman" w:eastAsia="Times New Roman" w:hAnsi="Times New Roman" w:cs="Times New Roman"/>
          <w:bCs/>
          <w:color w:val="000000"/>
          <w:sz w:val="24"/>
          <w:szCs w:val="24"/>
        </w:rPr>
        <w:t xml:space="preserve"> au niveau des OSC</w:t>
      </w:r>
      <w:r w:rsidRPr="00DB3F7D">
        <w:rPr>
          <w:rFonts w:ascii="Times New Roman" w:eastAsia="Times New Roman" w:hAnsi="Times New Roman" w:cs="Times New Roman"/>
          <w:bCs/>
          <w:color w:val="000000"/>
          <w:sz w:val="24"/>
          <w:szCs w:val="24"/>
        </w:rPr>
        <w:t xml:space="preserve"> conduisant des activités de sensibilisation contre les VSBG</w:t>
      </w:r>
      <w:r w:rsidR="00991DDC">
        <w:rPr>
          <w:rFonts w:ascii="Times New Roman" w:eastAsia="Times New Roman" w:hAnsi="Times New Roman" w:cs="Times New Roman"/>
          <w:bCs/>
          <w:color w:val="000000"/>
          <w:sz w:val="24"/>
          <w:szCs w:val="24"/>
        </w:rPr>
        <w:t xml:space="preserve"> à partir de 2019</w:t>
      </w:r>
    </w:p>
    <w:p w14:paraId="40238EF7" w14:textId="1F93F991" w:rsidR="00DB3F7D" w:rsidRPr="00DB3F7D" w:rsidRDefault="00DB3F7D" w:rsidP="00414498">
      <w:pPr>
        <w:numPr>
          <w:ilvl w:val="2"/>
          <w:numId w:val="17"/>
        </w:numPr>
        <w:autoSpaceDE w:val="0"/>
        <w:autoSpaceDN w:val="0"/>
        <w:adjustRightInd w:val="0"/>
        <w:spacing w:after="0" w:line="360" w:lineRule="auto"/>
        <w:jc w:val="both"/>
        <w:rPr>
          <w:rFonts w:ascii="Times New Roman" w:eastAsia="MS Mincho" w:hAnsi="Times New Roman" w:cs="Times New Roman"/>
          <w:color w:val="000000"/>
          <w:sz w:val="24"/>
          <w:szCs w:val="24"/>
          <w:lang w:val="fr-CA"/>
        </w:rPr>
      </w:pPr>
      <w:r w:rsidRPr="00DB3F7D">
        <w:rPr>
          <w:rFonts w:ascii="Times New Roman" w:eastAsia="Times New Roman" w:hAnsi="Times New Roman" w:cs="Times New Roman"/>
          <w:bCs/>
          <w:color w:val="000000"/>
          <w:sz w:val="24"/>
          <w:szCs w:val="24"/>
        </w:rPr>
        <w:t># de structures de prévention actives au sein des communautés</w:t>
      </w:r>
      <w:r w:rsidR="00414498">
        <w:rPr>
          <w:rFonts w:ascii="Times New Roman" w:eastAsia="Times New Roman" w:hAnsi="Times New Roman" w:cs="Times New Roman"/>
          <w:bCs/>
          <w:color w:val="000000"/>
          <w:sz w:val="24"/>
          <w:szCs w:val="24"/>
        </w:rPr>
        <w:t>.</w:t>
      </w:r>
    </w:p>
    <w:p w14:paraId="7F488D8A" w14:textId="77777777" w:rsidR="00DB3F7D" w:rsidRPr="00DB3F7D" w:rsidRDefault="00DB3F7D" w:rsidP="00DB3F7D">
      <w:pPr>
        <w:pStyle w:val="ListParagraph"/>
        <w:spacing w:line="360" w:lineRule="auto"/>
        <w:jc w:val="both"/>
        <w:rPr>
          <w:rFonts w:ascii="Times New Roman" w:eastAsia="Times New Roman" w:hAnsi="Times New Roman" w:cs="Times New Roman"/>
          <w:sz w:val="24"/>
          <w:szCs w:val="24"/>
          <w:lang w:val="fr-CA"/>
        </w:rPr>
      </w:pPr>
    </w:p>
    <w:p w14:paraId="36D807E5" w14:textId="0BF91AAB" w:rsidR="00C22F9C" w:rsidRPr="00414498" w:rsidRDefault="0041449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 </w:t>
      </w:r>
      <w:r w:rsidR="00A8240B" w:rsidRPr="00414498">
        <w:rPr>
          <w:rFonts w:ascii="Times New Roman" w:eastAsia="Times New Roman" w:hAnsi="Times New Roman" w:cs="Times New Roman"/>
          <w:b/>
          <w:sz w:val="24"/>
          <w:szCs w:val="24"/>
        </w:rPr>
        <w:t>Typologie et Les facteurs de Vulnérabilité</w:t>
      </w:r>
    </w:p>
    <w:p w14:paraId="18B3B0A3" w14:textId="77777777" w:rsidR="00C22F9C" w:rsidRDefault="00A8240B">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Cerner les divers types de violences interpersonnelles qui s’exercent envers les femmes, dans leurs différents cadres de vie (Famille, lieux collectifs), quel(s) que soi(en)t l(es) auteur(s) des violences ;</w:t>
      </w:r>
    </w:p>
    <w:p w14:paraId="408C2BE4" w14:textId="79BB4AF6" w:rsidR="00C22F9C" w:rsidRDefault="00A8240B">
      <w:pPr>
        <w:spacing w:line="360" w:lineRule="auto"/>
        <w:ind w:left="720"/>
        <w:jc w:val="both"/>
        <w:rPr>
          <w:rFonts w:ascii="Times New Roman" w:eastAsia="Times New Roman" w:hAnsi="Times New Roman" w:cs="Times New Roman"/>
          <w:sz w:val="24"/>
          <w:szCs w:val="24"/>
        </w:rPr>
      </w:pPr>
      <w:r w:rsidRPr="010CBDA3">
        <w:rPr>
          <w:rFonts w:ascii="Times New Roman" w:eastAsia="Times New Roman" w:hAnsi="Times New Roman" w:cs="Times New Roman"/>
          <w:sz w:val="24"/>
          <w:szCs w:val="24"/>
        </w:rPr>
        <w:t xml:space="preserve">2. </w:t>
      </w:r>
      <w:r w:rsidR="00991DDC">
        <w:rPr>
          <w:rFonts w:ascii="Times New Roman" w:eastAsia="Times New Roman" w:hAnsi="Times New Roman" w:cs="Times New Roman"/>
          <w:sz w:val="24"/>
          <w:szCs w:val="24"/>
        </w:rPr>
        <w:t>Evaluer l’ampleur</w:t>
      </w:r>
      <w:r w:rsidRPr="010CBDA3">
        <w:rPr>
          <w:rFonts w:ascii="Times New Roman" w:eastAsia="Times New Roman" w:hAnsi="Times New Roman" w:cs="Times New Roman"/>
          <w:sz w:val="24"/>
          <w:szCs w:val="24"/>
        </w:rPr>
        <w:t xml:space="preserve"> des Violences Sexuelles Basées sur le Genre subies par les femmes dans leurs différents cadres de vie (espaces publics, vie de couple, relations avec la famille ou les proches) ;</w:t>
      </w:r>
    </w:p>
    <w:p w14:paraId="5C7C9907" w14:textId="77777777" w:rsidR="00C22F9C" w:rsidRDefault="00A8240B">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Analyser le contexte familial, social, culturel et économique des situations de violence </w:t>
      </w:r>
    </w:p>
    <w:p w14:paraId="33077B29" w14:textId="29C47382" w:rsidR="00C22F9C" w:rsidRPr="00414498" w:rsidRDefault="00414498">
      <w:pPr>
        <w:spacing w:line="360" w:lineRule="auto"/>
        <w:jc w:val="both"/>
        <w:rPr>
          <w:rFonts w:ascii="Times New Roman" w:eastAsia="Times New Roman" w:hAnsi="Times New Roman" w:cs="Times New Roman"/>
          <w:b/>
          <w:sz w:val="24"/>
          <w:szCs w:val="24"/>
        </w:rPr>
      </w:pPr>
      <w:r w:rsidRPr="00414498">
        <w:rPr>
          <w:rFonts w:ascii="Times New Roman" w:eastAsia="Times New Roman" w:hAnsi="Times New Roman" w:cs="Times New Roman"/>
          <w:b/>
          <w:sz w:val="24"/>
          <w:szCs w:val="24"/>
        </w:rPr>
        <w:t xml:space="preserve">3. </w:t>
      </w:r>
      <w:r w:rsidR="00A8240B" w:rsidRPr="00414498">
        <w:rPr>
          <w:rFonts w:ascii="Times New Roman" w:eastAsia="Times New Roman" w:hAnsi="Times New Roman" w:cs="Times New Roman"/>
          <w:b/>
          <w:sz w:val="24"/>
          <w:szCs w:val="24"/>
        </w:rPr>
        <w:t>Cartographie des services offerts aux survivantes de violences sexuelles et des mécanismes de coordination existants</w:t>
      </w:r>
      <w:r w:rsidR="00A8240B" w:rsidRPr="00414498">
        <w:rPr>
          <w:rFonts w:ascii="Times New Roman" w:eastAsia="Times New Roman" w:hAnsi="Times New Roman" w:cs="Times New Roman"/>
          <w:b/>
          <w:color w:val="000000"/>
          <w:sz w:val="24"/>
          <w:szCs w:val="24"/>
        </w:rPr>
        <w:t xml:space="preserve"> dans les zones ciblées</w:t>
      </w:r>
    </w:p>
    <w:p w14:paraId="586D5E95" w14:textId="77777777" w:rsidR="00144CB1" w:rsidRDefault="00144CB1" w:rsidP="00414498">
      <w:pPr>
        <w:spacing w:line="360" w:lineRule="auto"/>
        <w:ind w:left="720"/>
        <w:jc w:val="both"/>
        <w:rPr>
          <w:rFonts w:ascii="Times New Roman" w:eastAsia="Times New Roman" w:hAnsi="Times New Roman" w:cs="Times New Roman"/>
          <w:sz w:val="24"/>
          <w:szCs w:val="24"/>
        </w:rPr>
      </w:pPr>
    </w:p>
    <w:p w14:paraId="410C90A9" w14:textId="77777777" w:rsidR="00C22F9C" w:rsidRDefault="00A8240B" w:rsidP="00414498">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Etudier les réactions des femmes aux violences subies, leurs recours auprès des membres de leur entourage et des services institutionnels ;</w:t>
      </w:r>
    </w:p>
    <w:p w14:paraId="1A168926" w14:textId="77777777" w:rsidR="00C22F9C" w:rsidRDefault="00A8240B" w:rsidP="00414498">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Examiner l’environnement politique dans lequel vivent les femmes survivantes des VSBG ;</w:t>
      </w:r>
    </w:p>
    <w:p w14:paraId="6D9843E7" w14:textId="77777777" w:rsidR="00C22F9C" w:rsidRDefault="00A8240B" w:rsidP="00414498">
      <w:pPr>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Analyser les perceptions de la communauté sur la nature, les causes et les conséquences des VSBG.</w:t>
      </w:r>
    </w:p>
    <w:p w14:paraId="0571F19A" w14:textId="7090147F" w:rsidR="00C22F9C" w:rsidRPr="009316B6" w:rsidRDefault="00414498" w:rsidP="00414498">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sz w:val="24"/>
          <w:szCs w:val="24"/>
        </w:rPr>
        <w:t xml:space="preserve">            </w:t>
      </w:r>
      <w:r w:rsidR="00A8240B">
        <w:rPr>
          <w:rFonts w:ascii="Times New Roman" w:eastAsia="Times New Roman" w:hAnsi="Times New Roman" w:cs="Times New Roman"/>
          <w:sz w:val="24"/>
          <w:szCs w:val="24"/>
        </w:rPr>
        <w:t xml:space="preserve">4. Evaluer les </w:t>
      </w:r>
      <w:r w:rsidR="00A8240B" w:rsidRPr="009316B6">
        <w:rPr>
          <w:rFonts w:ascii="Times New Roman" w:eastAsia="Times New Roman" w:hAnsi="Times New Roman" w:cs="Times New Roman"/>
          <w:color w:val="000000" w:themeColor="text1"/>
          <w:sz w:val="24"/>
          <w:szCs w:val="24"/>
        </w:rPr>
        <w:t>mécanismes de coordination de la lutte contre les violences sexuelles</w:t>
      </w:r>
      <w:r w:rsidR="000D4F9C" w:rsidRPr="009316B6">
        <w:rPr>
          <w:rFonts w:ascii="Times New Roman" w:eastAsia="Times New Roman" w:hAnsi="Times New Roman" w:cs="Times New Roman"/>
          <w:color w:val="000000" w:themeColor="text1"/>
          <w:sz w:val="24"/>
          <w:szCs w:val="24"/>
        </w:rPr>
        <w:t xml:space="preserve"> et le système de référence des survivantes</w:t>
      </w:r>
      <w:r w:rsidR="00871642" w:rsidRPr="009316B6">
        <w:rPr>
          <w:rFonts w:ascii="Times New Roman" w:eastAsia="Times New Roman" w:hAnsi="Times New Roman" w:cs="Times New Roman"/>
          <w:color w:val="000000" w:themeColor="text1"/>
          <w:sz w:val="24"/>
          <w:szCs w:val="24"/>
        </w:rPr>
        <w:t xml:space="preserve"> existant avec les outils utilis</w:t>
      </w:r>
      <w:r w:rsidR="00871642" w:rsidRPr="009316B6">
        <w:rPr>
          <w:rFonts w:eastAsia="Times New Roman" w:cs="Times New Roman"/>
          <w:color w:val="000000" w:themeColor="text1"/>
          <w:sz w:val="24"/>
          <w:szCs w:val="24"/>
        </w:rPr>
        <w:t>é</w:t>
      </w:r>
      <w:r w:rsidR="00871642" w:rsidRPr="009316B6">
        <w:rPr>
          <w:rFonts w:ascii="Times New Roman" w:eastAsia="Times New Roman" w:hAnsi="Times New Roman" w:cs="Times New Roman"/>
          <w:color w:val="000000" w:themeColor="text1"/>
          <w:sz w:val="24"/>
          <w:szCs w:val="24"/>
        </w:rPr>
        <w:t>s</w:t>
      </w:r>
      <w:r w:rsidR="00A8240B" w:rsidRPr="009316B6">
        <w:rPr>
          <w:rFonts w:ascii="Times New Roman" w:eastAsia="Times New Roman" w:hAnsi="Times New Roman" w:cs="Times New Roman"/>
          <w:color w:val="000000" w:themeColor="text1"/>
          <w:sz w:val="24"/>
          <w:szCs w:val="24"/>
        </w:rPr>
        <w:t>.</w:t>
      </w:r>
    </w:p>
    <w:p w14:paraId="7F4E5E02" w14:textId="68077AE1" w:rsidR="00CC562D" w:rsidRPr="009316B6" w:rsidRDefault="00414498" w:rsidP="00414498">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CC562D" w:rsidRPr="009316B6">
        <w:rPr>
          <w:rFonts w:ascii="Times New Roman" w:eastAsia="Times New Roman" w:hAnsi="Times New Roman" w:cs="Times New Roman"/>
          <w:color w:val="000000" w:themeColor="text1"/>
          <w:sz w:val="24"/>
          <w:szCs w:val="24"/>
        </w:rPr>
        <w:t>5</w:t>
      </w:r>
      <w:r>
        <w:rPr>
          <w:rFonts w:ascii="Times New Roman" w:eastAsia="Times New Roman" w:hAnsi="Times New Roman" w:cs="Times New Roman"/>
          <w:color w:val="000000" w:themeColor="text1"/>
          <w:sz w:val="24"/>
          <w:szCs w:val="24"/>
        </w:rPr>
        <w:t>. Circuit de  prise</w:t>
      </w:r>
      <w:r w:rsidR="000106A3">
        <w:rPr>
          <w:rFonts w:ascii="Times New Roman" w:eastAsia="Times New Roman" w:hAnsi="Times New Roman" w:cs="Times New Roman"/>
          <w:color w:val="000000" w:themeColor="text1"/>
          <w:sz w:val="24"/>
          <w:szCs w:val="24"/>
        </w:rPr>
        <w:t xml:space="preserve"> en</w:t>
      </w:r>
      <w:r>
        <w:rPr>
          <w:rFonts w:ascii="Times New Roman" w:eastAsia="Times New Roman" w:hAnsi="Times New Roman" w:cs="Times New Roman"/>
          <w:color w:val="000000" w:themeColor="text1"/>
          <w:sz w:val="24"/>
          <w:szCs w:val="24"/>
        </w:rPr>
        <w:t xml:space="preserve"> charge</w:t>
      </w:r>
      <w:r w:rsidR="00CC562D" w:rsidRPr="009316B6">
        <w:rPr>
          <w:rFonts w:ascii="Times New Roman" w:eastAsia="Times New Roman" w:hAnsi="Times New Roman" w:cs="Times New Roman"/>
          <w:color w:val="000000" w:themeColor="text1"/>
          <w:sz w:val="24"/>
          <w:szCs w:val="24"/>
        </w:rPr>
        <w:t xml:space="preserve"> et accompagnement au niveau des 3 communes du projet (en donnant les informations sur toutes les sections communales)</w:t>
      </w:r>
    </w:p>
    <w:p w14:paraId="7C797459" w14:textId="3FD54B53" w:rsidR="000D4F9C" w:rsidRPr="009316B6" w:rsidRDefault="00414498" w:rsidP="00414498">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CC562D" w:rsidRPr="009316B6">
        <w:rPr>
          <w:rFonts w:ascii="Times New Roman" w:eastAsia="Times New Roman" w:hAnsi="Times New Roman" w:cs="Times New Roman"/>
          <w:color w:val="000000" w:themeColor="text1"/>
          <w:sz w:val="24"/>
          <w:szCs w:val="24"/>
        </w:rPr>
        <w:t>6</w:t>
      </w:r>
      <w:r w:rsidR="000D4F9C" w:rsidRPr="009316B6">
        <w:rPr>
          <w:rFonts w:ascii="Times New Roman" w:eastAsia="Times New Roman" w:hAnsi="Times New Roman" w:cs="Times New Roman"/>
          <w:color w:val="000000" w:themeColor="text1"/>
          <w:sz w:val="24"/>
          <w:szCs w:val="24"/>
        </w:rPr>
        <w:t>.  Identifier les lacunes dans la prise en charge des survivantes dans les 3 communes</w:t>
      </w:r>
    </w:p>
    <w:p w14:paraId="5A7183D3" w14:textId="2137C32B" w:rsidR="00CC562D" w:rsidRPr="009316B6" w:rsidRDefault="00414498" w:rsidP="00414498">
      <w:pPr>
        <w:spacing w:line="360" w:lineRule="auto"/>
        <w:jc w:val="both"/>
        <w:rPr>
          <w:rFonts w:ascii="Times New Roman" w:eastAsia="Times New Roman" w:hAnsi="Times New Roman" w:cs="Times New Roman"/>
          <w:color w:val="000000" w:themeColor="text1"/>
          <w:sz w:val="24"/>
          <w:szCs w:val="24"/>
        </w:rPr>
      </w:pPr>
      <w:r w:rsidRPr="010CBDA3">
        <w:rPr>
          <w:rFonts w:ascii="Times New Roman" w:eastAsia="Times New Roman" w:hAnsi="Times New Roman" w:cs="Times New Roman"/>
          <w:color w:val="000000" w:themeColor="text1"/>
          <w:sz w:val="24"/>
          <w:szCs w:val="24"/>
        </w:rPr>
        <w:t xml:space="preserve">            </w:t>
      </w:r>
      <w:r w:rsidR="00CC562D" w:rsidRPr="010CBDA3">
        <w:rPr>
          <w:rFonts w:ascii="Times New Roman" w:eastAsia="Times New Roman" w:hAnsi="Times New Roman" w:cs="Times New Roman"/>
          <w:color w:val="000000" w:themeColor="text1"/>
          <w:sz w:val="24"/>
          <w:szCs w:val="24"/>
        </w:rPr>
        <w:t>7</w:t>
      </w:r>
      <w:r w:rsidR="000D4F9C" w:rsidRPr="010CBDA3">
        <w:rPr>
          <w:rFonts w:ascii="Times New Roman" w:eastAsia="Times New Roman" w:hAnsi="Times New Roman" w:cs="Times New Roman"/>
          <w:color w:val="000000" w:themeColor="text1"/>
          <w:sz w:val="24"/>
          <w:szCs w:val="24"/>
        </w:rPr>
        <w:t xml:space="preserve">.  </w:t>
      </w:r>
      <w:r w:rsidR="008068F1" w:rsidRPr="010CBDA3">
        <w:rPr>
          <w:rFonts w:ascii="Times New Roman" w:eastAsia="Times New Roman" w:hAnsi="Times New Roman" w:cs="Times New Roman"/>
          <w:color w:val="000000" w:themeColor="text1"/>
          <w:sz w:val="24"/>
          <w:szCs w:val="24"/>
        </w:rPr>
        <w:t>Établir un m</w:t>
      </w:r>
      <w:r w:rsidR="00CC562D" w:rsidRPr="010CBDA3">
        <w:rPr>
          <w:rFonts w:ascii="Times New Roman" w:eastAsia="Times New Roman" w:hAnsi="Times New Roman" w:cs="Times New Roman"/>
          <w:color w:val="000000" w:themeColor="text1"/>
          <w:sz w:val="24"/>
          <w:szCs w:val="24"/>
        </w:rPr>
        <w:t>apping des structures de prévention existantes dans les 3 communes (Groupes de support, OSC, Institution de prise en charge médicale, légale, psychosocial et maison d’</w:t>
      </w:r>
      <w:r w:rsidR="000106A3" w:rsidRPr="010CBDA3">
        <w:rPr>
          <w:rFonts w:ascii="Times New Roman" w:eastAsia="Times New Roman" w:hAnsi="Times New Roman" w:cs="Times New Roman"/>
          <w:color w:val="000000" w:themeColor="text1"/>
          <w:sz w:val="24"/>
          <w:szCs w:val="24"/>
        </w:rPr>
        <w:t>hébergement</w:t>
      </w:r>
      <w:r w:rsidR="54622376" w:rsidRPr="010CBDA3">
        <w:rPr>
          <w:rFonts w:ascii="Times New Roman" w:eastAsia="Times New Roman" w:hAnsi="Times New Roman" w:cs="Times New Roman"/>
          <w:color w:val="000000" w:themeColor="text1"/>
          <w:sz w:val="24"/>
          <w:szCs w:val="24"/>
        </w:rPr>
        <w:t>, projets d</w:t>
      </w:r>
      <w:r w:rsidR="116FD8CA" w:rsidRPr="010CBDA3">
        <w:rPr>
          <w:rFonts w:ascii="Times New Roman" w:eastAsia="Times New Roman" w:hAnsi="Times New Roman" w:cs="Times New Roman"/>
          <w:color w:val="000000" w:themeColor="text1"/>
          <w:sz w:val="24"/>
          <w:szCs w:val="24"/>
        </w:rPr>
        <w:t>’</w:t>
      </w:r>
      <w:r w:rsidR="00991DDC">
        <w:rPr>
          <w:rFonts w:ascii="Times New Roman" w:eastAsia="Times New Roman" w:hAnsi="Times New Roman" w:cs="Times New Roman"/>
          <w:color w:val="000000" w:themeColor="text1"/>
          <w:sz w:val="24"/>
          <w:szCs w:val="24"/>
        </w:rPr>
        <w:t>a</w:t>
      </w:r>
      <w:r w:rsidR="54622376" w:rsidRPr="010CBDA3">
        <w:rPr>
          <w:rFonts w:ascii="Times New Roman" w:eastAsia="Times New Roman" w:hAnsi="Times New Roman" w:cs="Times New Roman"/>
          <w:color w:val="000000" w:themeColor="text1"/>
          <w:sz w:val="24"/>
          <w:szCs w:val="24"/>
        </w:rPr>
        <w:t xml:space="preserve">utonomisation </w:t>
      </w:r>
      <w:r w:rsidR="579F5A09" w:rsidRPr="010CBDA3">
        <w:rPr>
          <w:rFonts w:ascii="Times New Roman" w:eastAsia="Times New Roman" w:hAnsi="Times New Roman" w:cs="Times New Roman"/>
          <w:color w:val="000000" w:themeColor="text1"/>
          <w:sz w:val="24"/>
          <w:szCs w:val="24"/>
        </w:rPr>
        <w:t>é</w:t>
      </w:r>
      <w:r w:rsidR="54622376" w:rsidRPr="010CBDA3">
        <w:rPr>
          <w:rFonts w:ascii="Times New Roman" w:eastAsia="Times New Roman" w:hAnsi="Times New Roman" w:cs="Times New Roman"/>
          <w:color w:val="000000" w:themeColor="text1"/>
          <w:sz w:val="24"/>
          <w:szCs w:val="24"/>
        </w:rPr>
        <w:t xml:space="preserve">conomique pour les </w:t>
      </w:r>
      <w:proofErr w:type="gramStart"/>
      <w:r w:rsidR="54622376" w:rsidRPr="010CBDA3">
        <w:rPr>
          <w:rFonts w:ascii="Times New Roman" w:eastAsia="Times New Roman" w:hAnsi="Times New Roman" w:cs="Times New Roman"/>
          <w:color w:val="000000" w:themeColor="text1"/>
          <w:sz w:val="24"/>
          <w:szCs w:val="24"/>
        </w:rPr>
        <w:t>survivantes )</w:t>
      </w:r>
      <w:proofErr w:type="gramEnd"/>
    </w:p>
    <w:p w14:paraId="556530B3" w14:textId="77777777" w:rsidR="00CC562D" w:rsidRPr="009316B6" w:rsidRDefault="00CC562D" w:rsidP="000106A3">
      <w:pPr>
        <w:spacing w:line="360" w:lineRule="auto"/>
        <w:rPr>
          <w:rFonts w:ascii="Times New Roman" w:eastAsia="Times New Roman" w:hAnsi="Times New Roman" w:cs="Times New Roman"/>
          <w:sz w:val="24"/>
          <w:szCs w:val="24"/>
          <w:lang w:val="fr-CA"/>
        </w:rPr>
      </w:pPr>
    </w:p>
    <w:p w14:paraId="640347E3" w14:textId="77777777" w:rsidR="00C22F9C" w:rsidRDefault="00A8240B" w:rsidP="00DB3F7D">
      <w:pPr>
        <w:numPr>
          <w:ilvl w:val="0"/>
          <w:numId w:val="18"/>
        </w:numPr>
        <w:pBdr>
          <w:top w:val="nil"/>
          <w:left w:val="nil"/>
          <w:bottom w:val="nil"/>
          <w:right w:val="nil"/>
          <w:between w:val="nil"/>
        </w:pBdr>
        <w:spacing w:line="360" w:lineRule="auto"/>
        <w:jc w:val="both"/>
        <w:rPr>
          <w:b/>
          <w:color w:val="000000"/>
          <w:sz w:val="24"/>
          <w:szCs w:val="24"/>
        </w:rPr>
      </w:pPr>
      <w:r>
        <w:rPr>
          <w:rFonts w:ascii="Times New Roman" w:eastAsia="Times New Roman" w:hAnsi="Times New Roman" w:cs="Times New Roman"/>
          <w:b/>
          <w:color w:val="000000"/>
          <w:sz w:val="24"/>
          <w:szCs w:val="24"/>
        </w:rPr>
        <w:t>Questions de recherche</w:t>
      </w:r>
    </w:p>
    <w:p w14:paraId="6CE9C27A" w14:textId="77777777" w:rsidR="00C22F9C" w:rsidRDefault="00A8240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AFASDA veut par cette étude, affiner sa compréhension de la situation réelle relative à la VSBG dans les zones ciblées suivants différents indicateurs. Cette recherche sera menée par un (e) consultant (e) recrutée à cet effet. Elle couvrira les trois communes et les sections communales qui y sont attachées. Les 3 grands axes de recherches seront les suivants et pourront être sensiblement modifiés suivants les réalités sociales dans les différentes zones. </w:t>
      </w:r>
    </w:p>
    <w:p w14:paraId="5ED6BB8E" w14:textId="77777777" w:rsidR="00C22F9C" w:rsidRDefault="00A8240B">
      <w:pPr>
        <w:numPr>
          <w:ilvl w:val="0"/>
          <w:numId w:val="11"/>
        </w:numPr>
        <w:pBdr>
          <w:top w:val="nil"/>
          <w:left w:val="nil"/>
          <w:bottom w:val="nil"/>
          <w:right w:val="nil"/>
          <w:between w:val="nil"/>
        </w:pBdr>
        <w:spacing w:after="200" w:line="36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Situation des femmes et de filles face aux VSBG</w:t>
      </w:r>
    </w:p>
    <w:p w14:paraId="6EE60C87" w14:textId="4063D7FB" w:rsidR="00C22F9C" w:rsidRDefault="00A8240B">
      <w:pPr>
        <w:numPr>
          <w:ilvl w:val="1"/>
          <w:numId w:val="11"/>
        </w:numPr>
        <w:pBdr>
          <w:top w:val="nil"/>
          <w:left w:val="nil"/>
          <w:bottom w:val="nil"/>
          <w:right w:val="nil"/>
          <w:between w:val="nil"/>
        </w:pBdr>
        <w:spacing w:after="200" w:line="360" w:lineRule="auto"/>
        <w:jc w:val="both"/>
        <w:rPr>
          <w:rFonts w:ascii="Times New Roman" w:eastAsia="Times New Roman" w:hAnsi="Times New Roman" w:cs="Times New Roman"/>
          <w:color w:val="000000"/>
          <w:sz w:val="24"/>
          <w:szCs w:val="24"/>
        </w:rPr>
      </w:pPr>
      <w:r w:rsidRPr="010CBDA3">
        <w:rPr>
          <w:rFonts w:ascii="Times New Roman" w:eastAsia="Times New Roman" w:hAnsi="Times New Roman" w:cs="Times New Roman"/>
          <w:color w:val="000000" w:themeColor="text1"/>
          <w:sz w:val="24"/>
          <w:szCs w:val="24"/>
        </w:rPr>
        <w:t xml:space="preserve">Est-ce que les autorités prennent des mesures </w:t>
      </w:r>
      <w:r w:rsidR="00991DDC">
        <w:rPr>
          <w:rFonts w:ascii="Times New Roman" w:eastAsia="Times New Roman" w:hAnsi="Times New Roman" w:cs="Times New Roman"/>
          <w:color w:val="000000" w:themeColor="text1"/>
          <w:sz w:val="24"/>
          <w:szCs w:val="24"/>
        </w:rPr>
        <w:t>dans les zones d’intervention du projet pour diminuer les violences sexuelles et basées sur le genre</w:t>
      </w:r>
      <w:r w:rsidRPr="010CBDA3">
        <w:rPr>
          <w:rFonts w:ascii="Times New Roman" w:eastAsia="Times New Roman" w:hAnsi="Times New Roman" w:cs="Times New Roman"/>
          <w:color w:val="000000" w:themeColor="text1"/>
          <w:sz w:val="24"/>
          <w:szCs w:val="24"/>
        </w:rPr>
        <w:t>? Quelles sont les structures qui existent dans les différentes zones pour la prise en charge des victimes ?</w:t>
      </w:r>
    </w:p>
    <w:p w14:paraId="76D25CE2" w14:textId="77777777" w:rsidR="00144CB1" w:rsidRDefault="00144CB1" w:rsidP="00144CB1">
      <w:pPr>
        <w:pBdr>
          <w:top w:val="nil"/>
          <w:left w:val="nil"/>
          <w:bottom w:val="nil"/>
          <w:right w:val="nil"/>
          <w:between w:val="nil"/>
        </w:pBdr>
        <w:spacing w:after="200" w:line="360" w:lineRule="auto"/>
        <w:ind w:left="360"/>
        <w:jc w:val="both"/>
        <w:rPr>
          <w:rFonts w:ascii="Times New Roman" w:eastAsia="Times New Roman" w:hAnsi="Times New Roman" w:cs="Times New Roman"/>
          <w:color w:val="000000"/>
          <w:sz w:val="24"/>
          <w:szCs w:val="24"/>
        </w:rPr>
      </w:pPr>
    </w:p>
    <w:p w14:paraId="0A7B7E00" w14:textId="77777777" w:rsidR="00C22F9C" w:rsidRDefault="00A8240B">
      <w:pPr>
        <w:numPr>
          <w:ilvl w:val="1"/>
          <w:numId w:val="11"/>
        </w:numPr>
        <w:pBdr>
          <w:top w:val="nil"/>
          <w:left w:val="nil"/>
          <w:bottom w:val="nil"/>
          <w:right w:val="nil"/>
          <w:between w:val="nil"/>
        </w:pBdr>
        <w:spacing w:after="2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Quelles sont les formes que prennent ces violences et est-ce que certains facteurs tel que le handicap, l’éloignement géographique, l’appartenance politique ou sociale pourraient aggraver davantage ces violences ? Quelles en sont les principales causes?  </w:t>
      </w:r>
    </w:p>
    <w:p w14:paraId="3E9D694B" w14:textId="4BD01A46" w:rsidR="00C22F9C" w:rsidRDefault="00A8240B">
      <w:pPr>
        <w:numPr>
          <w:ilvl w:val="1"/>
          <w:numId w:val="11"/>
        </w:numPr>
        <w:pBdr>
          <w:top w:val="nil"/>
          <w:left w:val="nil"/>
          <w:bottom w:val="nil"/>
          <w:right w:val="nil"/>
          <w:between w:val="nil"/>
        </w:pBdr>
        <w:spacing w:after="200" w:line="360" w:lineRule="auto"/>
        <w:jc w:val="both"/>
        <w:rPr>
          <w:rFonts w:ascii="Times New Roman" w:eastAsia="Times New Roman" w:hAnsi="Times New Roman" w:cs="Times New Roman"/>
          <w:color w:val="000000"/>
          <w:sz w:val="24"/>
          <w:szCs w:val="24"/>
        </w:rPr>
      </w:pPr>
      <w:r w:rsidRPr="010CBDA3">
        <w:rPr>
          <w:rFonts w:ascii="Times New Roman" w:eastAsia="Times New Roman" w:hAnsi="Times New Roman" w:cs="Times New Roman"/>
          <w:color w:val="000000" w:themeColor="text1"/>
          <w:sz w:val="24"/>
          <w:szCs w:val="24"/>
        </w:rPr>
        <w:t xml:space="preserve">Est-ce qu’il existe des organisations œuvrant dans la défense des droits des femmes dans ces zones ? Dans quelle mesure cela a-t-il un impact concret et durable sur les changements de comportements de ces communautés </w:t>
      </w:r>
      <w:r w:rsidRPr="00BD0B31">
        <w:rPr>
          <w:rFonts w:ascii="Times New Roman" w:eastAsia="Times New Roman" w:hAnsi="Times New Roman" w:cs="Times New Roman"/>
          <w:sz w:val="24"/>
          <w:szCs w:val="24"/>
        </w:rPr>
        <w:t>?</w:t>
      </w:r>
      <w:r w:rsidR="00BD0B31">
        <w:rPr>
          <w:rFonts w:ascii="Times New Roman" w:eastAsia="Times New Roman" w:hAnsi="Times New Roman" w:cs="Times New Roman"/>
          <w:color w:val="000000" w:themeColor="text1"/>
          <w:sz w:val="24"/>
          <w:szCs w:val="24"/>
        </w:rPr>
        <w:t xml:space="preserve"> Il y a des activités de masculinité positive dirigées aux hommes ou d’autres sortes de sensibilisation visant les hommes ?</w:t>
      </w:r>
      <w:r w:rsidR="3EAB3E56" w:rsidRPr="00BD0B31">
        <w:rPr>
          <w:rFonts w:ascii="Times New Roman" w:eastAsia="Times New Roman" w:hAnsi="Times New Roman" w:cs="Times New Roman"/>
          <w:sz w:val="24"/>
          <w:szCs w:val="24"/>
        </w:rPr>
        <w:t xml:space="preserve"> </w:t>
      </w:r>
    </w:p>
    <w:p w14:paraId="37DD2AED" w14:textId="1E816B0F" w:rsidR="00C22F9C" w:rsidRDefault="00414498">
      <w:pPr>
        <w:numPr>
          <w:ilvl w:val="0"/>
          <w:numId w:val="11"/>
        </w:numPr>
        <w:pBdr>
          <w:top w:val="nil"/>
          <w:left w:val="nil"/>
          <w:bottom w:val="nil"/>
          <w:right w:val="nil"/>
          <w:between w:val="nil"/>
        </w:pBdr>
        <w:spacing w:after="200" w:line="36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Stratégies</w:t>
      </w:r>
      <w:r w:rsidR="00A8240B">
        <w:rPr>
          <w:rFonts w:ascii="Times New Roman" w:eastAsia="Times New Roman" w:hAnsi="Times New Roman" w:cs="Times New Roman"/>
          <w:color w:val="000000"/>
          <w:sz w:val="24"/>
          <w:szCs w:val="24"/>
          <w:u w:val="single"/>
        </w:rPr>
        <w:t xml:space="preserve"> de mitigation </w:t>
      </w:r>
    </w:p>
    <w:p w14:paraId="3AC4A748" w14:textId="77777777" w:rsidR="00C22F9C" w:rsidRDefault="00A8240B">
      <w:pPr>
        <w:numPr>
          <w:ilvl w:val="1"/>
          <w:numId w:val="11"/>
        </w:numPr>
        <w:pBdr>
          <w:top w:val="nil"/>
          <w:left w:val="nil"/>
          <w:bottom w:val="nil"/>
          <w:right w:val="nil"/>
          <w:between w:val="nil"/>
        </w:pBdr>
        <w:spacing w:after="2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Quelles sont les stratégies de mitigations mises en place par les femmes individuellement, dans l’espace familial ou Communautaire pour contrecarrer la VSBG ? </w:t>
      </w:r>
    </w:p>
    <w:p w14:paraId="25523F30" w14:textId="6E55846C" w:rsidR="00C22F9C" w:rsidRDefault="00A8240B">
      <w:pPr>
        <w:numPr>
          <w:ilvl w:val="1"/>
          <w:numId w:val="11"/>
        </w:numPr>
        <w:pBdr>
          <w:top w:val="nil"/>
          <w:left w:val="nil"/>
          <w:bottom w:val="nil"/>
          <w:right w:val="nil"/>
          <w:between w:val="nil"/>
        </w:pBdr>
        <w:spacing w:after="200" w:line="360" w:lineRule="auto"/>
        <w:jc w:val="both"/>
        <w:rPr>
          <w:rFonts w:ascii="Times New Roman" w:eastAsia="Times New Roman" w:hAnsi="Times New Roman" w:cs="Times New Roman"/>
          <w:color w:val="000000"/>
          <w:sz w:val="24"/>
          <w:szCs w:val="24"/>
        </w:rPr>
      </w:pPr>
      <w:r w:rsidRPr="010CBDA3">
        <w:rPr>
          <w:rFonts w:ascii="Times New Roman" w:eastAsia="Times New Roman" w:hAnsi="Times New Roman" w:cs="Times New Roman"/>
          <w:color w:val="000000" w:themeColor="text1"/>
          <w:sz w:val="24"/>
          <w:szCs w:val="24"/>
        </w:rPr>
        <w:t>Quelles sont les différentes formes de résilience dont font preuve les communautés ? Quels rôles jouent les femmes dans ces initiatives Communautaire</w:t>
      </w:r>
      <w:r w:rsidR="20B6A276" w:rsidRPr="010CBDA3">
        <w:rPr>
          <w:rFonts w:ascii="Times New Roman" w:eastAsia="Times New Roman" w:hAnsi="Times New Roman" w:cs="Times New Roman"/>
          <w:color w:val="000000" w:themeColor="text1"/>
          <w:sz w:val="24"/>
          <w:szCs w:val="24"/>
        </w:rPr>
        <w:t>s</w:t>
      </w:r>
      <w:r w:rsidRPr="010CBDA3">
        <w:rPr>
          <w:rFonts w:ascii="Times New Roman" w:eastAsia="Times New Roman" w:hAnsi="Times New Roman" w:cs="Times New Roman"/>
          <w:color w:val="000000" w:themeColor="text1"/>
          <w:sz w:val="24"/>
          <w:szCs w:val="24"/>
        </w:rPr>
        <w:t xml:space="preserve">? </w:t>
      </w:r>
    </w:p>
    <w:p w14:paraId="5F4ED998" w14:textId="77777777" w:rsidR="00C22F9C" w:rsidRDefault="00A8240B">
      <w:pPr>
        <w:numPr>
          <w:ilvl w:val="1"/>
          <w:numId w:val="11"/>
        </w:numPr>
        <w:pBdr>
          <w:top w:val="nil"/>
          <w:left w:val="nil"/>
          <w:bottom w:val="nil"/>
          <w:right w:val="nil"/>
          <w:between w:val="nil"/>
        </w:pBdr>
        <w:spacing w:after="2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 quoi la transgression des rôles traditionnels féminins et masculins permet de contrer les VSBG ? </w:t>
      </w:r>
    </w:p>
    <w:p w14:paraId="6EFE8F28" w14:textId="77777777" w:rsidR="00C22F9C" w:rsidRDefault="00A8240B">
      <w:pPr>
        <w:numPr>
          <w:ilvl w:val="1"/>
          <w:numId w:val="11"/>
        </w:numPr>
        <w:pBdr>
          <w:top w:val="nil"/>
          <w:left w:val="nil"/>
          <w:bottom w:val="nil"/>
          <w:right w:val="nil"/>
          <w:between w:val="nil"/>
        </w:pBdr>
        <w:spacing w:after="2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Comment les femmes investissent-elles les espaces de prise d’information et de décisions quant aux mesures mises en place aux différents niveaux institutionnels ? </w:t>
      </w:r>
    </w:p>
    <w:p w14:paraId="36C6E3CC" w14:textId="2CD80F8E" w:rsidR="00C22F9C" w:rsidRDefault="00A8240B">
      <w:pPr>
        <w:keepNext/>
        <w:numPr>
          <w:ilvl w:val="0"/>
          <w:numId w:val="11"/>
        </w:numPr>
        <w:pBdr>
          <w:top w:val="nil"/>
          <w:left w:val="nil"/>
          <w:bottom w:val="nil"/>
          <w:right w:val="nil"/>
          <w:between w:val="nil"/>
        </w:pBdr>
        <w:spacing w:after="200" w:line="360" w:lineRule="auto"/>
        <w:jc w:val="both"/>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Les acquis Communautaire</w:t>
      </w:r>
      <w:r w:rsidR="00454ADC">
        <w:rPr>
          <w:rFonts w:ascii="Times New Roman" w:eastAsia="Times New Roman" w:hAnsi="Times New Roman" w:cs="Times New Roman"/>
          <w:color w:val="000000"/>
          <w:sz w:val="24"/>
          <w:szCs w:val="24"/>
          <w:u w:val="single"/>
        </w:rPr>
        <w:t>s</w:t>
      </w:r>
    </w:p>
    <w:p w14:paraId="071DE31A" w14:textId="77777777" w:rsidR="00C22F9C" w:rsidRDefault="00A8240B">
      <w:pPr>
        <w:keepNext/>
        <w:numPr>
          <w:ilvl w:val="1"/>
          <w:numId w:val="11"/>
        </w:numPr>
        <w:pBdr>
          <w:top w:val="nil"/>
          <w:left w:val="nil"/>
          <w:bottom w:val="nil"/>
          <w:right w:val="nil"/>
          <w:between w:val="nil"/>
        </w:pBdr>
        <w:spacing w:after="20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Quelles sont les mesures et bonnes pratiques ayant permis d'éviter l'augmentation de la violence, autant de la part des organisations de femmes que des gouvernements et autorités locales ?</w:t>
      </w:r>
    </w:p>
    <w:p w14:paraId="209E15B1" w14:textId="77777777" w:rsidR="00C22F9C" w:rsidRDefault="00A8240B" w:rsidP="00DB3F7D">
      <w:pPr>
        <w:numPr>
          <w:ilvl w:val="0"/>
          <w:numId w:val="18"/>
        </w:numPr>
        <w:pBdr>
          <w:top w:val="nil"/>
          <w:left w:val="nil"/>
          <w:bottom w:val="nil"/>
          <w:right w:val="nil"/>
          <w:between w:val="nil"/>
        </w:pBdr>
        <w:spacing w:line="360" w:lineRule="auto"/>
        <w:rPr>
          <w:b/>
          <w:color w:val="000000"/>
          <w:sz w:val="24"/>
          <w:szCs w:val="24"/>
        </w:rPr>
      </w:pPr>
      <w:r>
        <w:rPr>
          <w:rFonts w:ascii="Times New Roman" w:eastAsia="Times New Roman" w:hAnsi="Times New Roman" w:cs="Times New Roman"/>
          <w:b/>
          <w:color w:val="000000"/>
          <w:sz w:val="24"/>
          <w:szCs w:val="24"/>
        </w:rPr>
        <w:t>Résultats attendus</w:t>
      </w:r>
    </w:p>
    <w:p w14:paraId="3CD68F29" w14:textId="77777777" w:rsidR="00BD0B31" w:rsidRDefault="00A8240B" w:rsidP="009316B6">
      <w:pPr>
        <w:numPr>
          <w:ilvl w:val="0"/>
          <w:numId w:val="12"/>
        </w:numPr>
        <w:pBdr>
          <w:top w:val="nil"/>
          <w:left w:val="nil"/>
          <w:bottom w:val="nil"/>
          <w:right w:val="nil"/>
          <w:between w:val="nil"/>
        </w:pBdr>
        <w:spacing w:after="200" w:line="360" w:lineRule="auto"/>
        <w:jc w:val="both"/>
        <w:rPr>
          <w:rFonts w:ascii="Times New Roman" w:eastAsia="Times New Roman" w:hAnsi="Times New Roman" w:cs="Times New Roman"/>
          <w:color w:val="000000" w:themeColor="text1"/>
          <w:sz w:val="24"/>
          <w:szCs w:val="24"/>
        </w:rPr>
      </w:pPr>
      <w:r w:rsidRPr="00BD0B31">
        <w:rPr>
          <w:rFonts w:ascii="Times New Roman" w:eastAsia="Times New Roman" w:hAnsi="Times New Roman" w:cs="Times New Roman"/>
          <w:b/>
          <w:bCs/>
          <w:color w:val="000000" w:themeColor="text1"/>
          <w:sz w:val="24"/>
          <w:szCs w:val="24"/>
        </w:rPr>
        <w:t>La documentation de l’étude</w:t>
      </w:r>
      <w:r w:rsidRPr="00BD0B31">
        <w:rPr>
          <w:rFonts w:ascii="Times New Roman" w:eastAsia="Times New Roman" w:hAnsi="Times New Roman" w:cs="Times New Roman"/>
          <w:color w:val="000000" w:themeColor="text1"/>
          <w:sz w:val="24"/>
          <w:szCs w:val="24"/>
        </w:rPr>
        <w:t xml:space="preserve"> : Il faudrait dans un premier temps documenter la situation des filles et des femmes des zones ciblées en fonction des VSBG en utilisant un échantillon qu’il sera raisonnable d’obtenir. </w:t>
      </w:r>
    </w:p>
    <w:p w14:paraId="7F42335F" w14:textId="77777777" w:rsidR="00144CB1" w:rsidRPr="00144CB1" w:rsidRDefault="00144CB1" w:rsidP="00144CB1">
      <w:pPr>
        <w:pBdr>
          <w:top w:val="nil"/>
          <w:left w:val="nil"/>
          <w:bottom w:val="nil"/>
          <w:right w:val="nil"/>
          <w:between w:val="nil"/>
        </w:pBdr>
        <w:spacing w:after="200" w:line="360" w:lineRule="auto"/>
        <w:ind w:left="720"/>
        <w:jc w:val="both"/>
        <w:rPr>
          <w:rFonts w:ascii="Times New Roman" w:eastAsia="Times New Roman" w:hAnsi="Times New Roman" w:cs="Times New Roman"/>
          <w:color w:val="000000" w:themeColor="text1"/>
          <w:sz w:val="24"/>
          <w:szCs w:val="24"/>
        </w:rPr>
      </w:pPr>
    </w:p>
    <w:p w14:paraId="09DAF18E" w14:textId="0E3EF9E7" w:rsidR="009316B6" w:rsidRPr="00BD0B31" w:rsidRDefault="00A8240B" w:rsidP="009316B6">
      <w:pPr>
        <w:numPr>
          <w:ilvl w:val="0"/>
          <w:numId w:val="12"/>
        </w:numPr>
        <w:pBdr>
          <w:top w:val="nil"/>
          <w:left w:val="nil"/>
          <w:bottom w:val="nil"/>
          <w:right w:val="nil"/>
          <w:between w:val="nil"/>
        </w:pBdr>
        <w:spacing w:after="200" w:line="360" w:lineRule="auto"/>
        <w:jc w:val="both"/>
        <w:rPr>
          <w:rFonts w:ascii="Times New Roman" w:eastAsia="Times New Roman" w:hAnsi="Times New Roman" w:cs="Times New Roman"/>
          <w:color w:val="000000" w:themeColor="text1"/>
          <w:sz w:val="24"/>
          <w:szCs w:val="24"/>
        </w:rPr>
      </w:pPr>
      <w:r w:rsidRPr="00BD0B31">
        <w:rPr>
          <w:rFonts w:ascii="Times New Roman" w:eastAsia="Times New Roman" w:hAnsi="Times New Roman" w:cs="Times New Roman"/>
          <w:b/>
          <w:color w:val="000000"/>
          <w:sz w:val="24"/>
          <w:szCs w:val="24"/>
        </w:rPr>
        <w:t>Du contenu actualisé pour soutenir tout potentiel plaidoyer des organisations locales</w:t>
      </w:r>
      <w:r w:rsidRPr="00BD0B31">
        <w:rPr>
          <w:rFonts w:ascii="Times New Roman" w:eastAsia="Times New Roman" w:hAnsi="Times New Roman" w:cs="Times New Roman"/>
          <w:color w:val="000000"/>
          <w:sz w:val="24"/>
          <w:szCs w:val="24"/>
        </w:rPr>
        <w:t xml:space="preserve"> : Les informations doivent d’abord permettre aux organisations de défense de droits des femmes (ODDF) d’enrichir leur plaidoyer en faveur des services qu’elles offrent et les besoins des femmes avec qui elles travaillent. Pour cette raison, les questions de recherche devront être adaptées selon la situation locale en termes de réponse aux différentes VSBG, </w:t>
      </w:r>
      <w:r w:rsidRPr="00BD0B31">
        <w:rPr>
          <w:rFonts w:ascii="Times New Roman" w:eastAsia="Times New Roman" w:hAnsi="Times New Roman" w:cs="Times New Roman"/>
          <w:color w:val="000000" w:themeColor="text1"/>
          <w:sz w:val="24"/>
          <w:szCs w:val="24"/>
        </w:rPr>
        <w:t xml:space="preserve">mais aussi face aux besoins exprimés par les femmes et les OCS.   </w:t>
      </w:r>
    </w:p>
    <w:p w14:paraId="232C0AF9" w14:textId="2F71927A" w:rsidR="00C22F9C" w:rsidRPr="000106A3" w:rsidRDefault="00A8240B" w:rsidP="009316B6">
      <w:pPr>
        <w:numPr>
          <w:ilvl w:val="0"/>
          <w:numId w:val="12"/>
        </w:numPr>
        <w:pBdr>
          <w:top w:val="nil"/>
          <w:left w:val="nil"/>
          <w:bottom w:val="nil"/>
          <w:right w:val="nil"/>
          <w:between w:val="nil"/>
        </w:pBdr>
        <w:spacing w:after="200" w:line="360" w:lineRule="auto"/>
        <w:jc w:val="both"/>
        <w:rPr>
          <w:rFonts w:ascii="Times New Roman" w:eastAsia="Times New Roman" w:hAnsi="Times New Roman" w:cs="Times New Roman"/>
          <w:color w:val="000000" w:themeColor="text1"/>
          <w:sz w:val="24"/>
          <w:szCs w:val="24"/>
        </w:rPr>
      </w:pPr>
      <w:r w:rsidRPr="000106A3">
        <w:rPr>
          <w:rFonts w:ascii="Times New Roman" w:eastAsia="Times New Roman" w:hAnsi="Times New Roman" w:cs="Times New Roman"/>
          <w:b/>
          <w:color w:val="000000" w:themeColor="text1"/>
          <w:sz w:val="24"/>
          <w:szCs w:val="24"/>
        </w:rPr>
        <w:t>Un plan d’action</w:t>
      </w:r>
      <w:r w:rsidRPr="000106A3">
        <w:rPr>
          <w:rFonts w:ascii="Times New Roman" w:eastAsia="Times New Roman" w:hAnsi="Times New Roman" w:cs="Times New Roman"/>
          <w:color w:val="000000" w:themeColor="text1"/>
          <w:sz w:val="24"/>
          <w:szCs w:val="24"/>
        </w:rPr>
        <w:t xml:space="preserve"> est élaboré ainsi qu’un mécanisme de suivi-évaluation sur la stratégie genre.</w:t>
      </w:r>
    </w:p>
    <w:p w14:paraId="3C97BE40" w14:textId="77777777" w:rsidR="008068F1" w:rsidRDefault="008068F1" w:rsidP="009316B6">
      <w:pPr>
        <w:pBdr>
          <w:top w:val="nil"/>
          <w:left w:val="nil"/>
          <w:bottom w:val="nil"/>
          <w:right w:val="nil"/>
          <w:between w:val="nil"/>
        </w:pBdr>
        <w:spacing w:after="200" w:line="360" w:lineRule="auto"/>
        <w:ind w:left="360"/>
        <w:jc w:val="both"/>
        <w:rPr>
          <w:rFonts w:ascii="Times New Roman" w:eastAsia="Times New Roman" w:hAnsi="Times New Roman" w:cs="Times New Roman"/>
          <w:color w:val="000000"/>
          <w:sz w:val="24"/>
          <w:szCs w:val="24"/>
        </w:rPr>
      </w:pPr>
    </w:p>
    <w:p w14:paraId="6BADC985" w14:textId="77777777" w:rsidR="00C22F9C" w:rsidRDefault="00A8240B" w:rsidP="00DB3F7D">
      <w:pPr>
        <w:numPr>
          <w:ilvl w:val="0"/>
          <w:numId w:val="18"/>
        </w:numPr>
        <w:pBdr>
          <w:top w:val="nil"/>
          <w:left w:val="nil"/>
          <w:bottom w:val="nil"/>
          <w:right w:val="nil"/>
          <w:between w:val="nil"/>
        </w:pBdr>
        <w:spacing w:line="360" w:lineRule="auto"/>
        <w:jc w:val="both"/>
        <w:rPr>
          <w:b/>
          <w:color w:val="000000"/>
          <w:sz w:val="24"/>
          <w:szCs w:val="24"/>
        </w:rPr>
      </w:pPr>
      <w:r>
        <w:rPr>
          <w:rFonts w:ascii="Times New Roman" w:eastAsia="Times New Roman" w:hAnsi="Times New Roman" w:cs="Times New Roman"/>
          <w:b/>
          <w:color w:val="000000"/>
          <w:sz w:val="24"/>
          <w:szCs w:val="24"/>
        </w:rPr>
        <w:t>Méthodologie</w:t>
      </w:r>
    </w:p>
    <w:p w14:paraId="0518F612" w14:textId="77777777" w:rsidR="00C22F9C" w:rsidRDefault="00A8240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L’étude sera conduite par un/e consultant (e) national (e) et doit recourir à toute la panoplie d’outils disponibles pour collecter et analyser les informations pertinentes pour l’étude. En particulier, elle utilisera les méthodes de collecte de données suivantes :</w:t>
      </w:r>
    </w:p>
    <w:p w14:paraId="29A4C2AB" w14:textId="77777777" w:rsidR="00C22F9C" w:rsidRDefault="00C22F9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30CCE174" w14:textId="77777777" w:rsidR="00C22F9C" w:rsidRDefault="00A8240B">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 revue documentaire : les documents clés relatifs au projet seront examinés. Il s’agit:</w:t>
      </w:r>
    </w:p>
    <w:p w14:paraId="3EF1F5FC" w14:textId="77777777" w:rsidR="00C22F9C" w:rsidRDefault="00A8240B">
      <w:pPr>
        <w:numPr>
          <w:ilvl w:val="0"/>
          <w:numId w:val="3"/>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Du document du projet ;</w:t>
      </w:r>
    </w:p>
    <w:p w14:paraId="63768C07" w14:textId="77777777" w:rsidR="00C22F9C" w:rsidRDefault="00A8240B">
      <w:pPr>
        <w:numPr>
          <w:ilvl w:val="0"/>
          <w:numId w:val="3"/>
        </w:numPr>
        <w:pBdr>
          <w:top w:val="nil"/>
          <w:left w:val="nil"/>
          <w:bottom w:val="nil"/>
          <w:right w:val="nil"/>
          <w:between w:val="nil"/>
        </w:pBdr>
        <w:spacing w:after="0" w:line="360" w:lineRule="auto"/>
        <w:jc w:val="both"/>
        <w:rPr>
          <w:color w:val="000000"/>
          <w:sz w:val="24"/>
          <w:szCs w:val="24"/>
        </w:rPr>
      </w:pPr>
      <w:r w:rsidRPr="010CBDA3">
        <w:rPr>
          <w:rFonts w:ascii="Times New Roman" w:eastAsia="Times New Roman" w:hAnsi="Times New Roman" w:cs="Times New Roman"/>
          <w:color w:val="000000" w:themeColor="text1"/>
          <w:sz w:val="24"/>
          <w:szCs w:val="24"/>
        </w:rPr>
        <w:t xml:space="preserve">Les différents plans de travail, des rapports périodiques ainsi que les rapports élaborés pour documenter l’état d’avancement des activités correspondant </w:t>
      </w:r>
      <w:proofErr w:type="spellStart"/>
      <w:proofErr w:type="gramStart"/>
      <w:r w:rsidRPr="010CBDA3">
        <w:rPr>
          <w:rFonts w:ascii="Times New Roman" w:eastAsia="Times New Roman" w:hAnsi="Times New Roman" w:cs="Times New Roman"/>
          <w:color w:val="000000" w:themeColor="text1"/>
          <w:sz w:val="24"/>
          <w:szCs w:val="24"/>
        </w:rPr>
        <w:t>a</w:t>
      </w:r>
      <w:proofErr w:type="spellEnd"/>
      <w:proofErr w:type="gramEnd"/>
      <w:r w:rsidRPr="010CBDA3">
        <w:rPr>
          <w:rFonts w:ascii="Times New Roman" w:eastAsia="Times New Roman" w:hAnsi="Times New Roman" w:cs="Times New Roman"/>
          <w:color w:val="000000" w:themeColor="text1"/>
          <w:sz w:val="24"/>
          <w:szCs w:val="24"/>
        </w:rPr>
        <w:t xml:space="preserve"> son niveau d’</w:t>
      </w:r>
      <w:proofErr w:type="spellStart"/>
      <w:r w:rsidRPr="010CBDA3">
        <w:rPr>
          <w:rFonts w:ascii="Times New Roman" w:eastAsia="Times New Roman" w:hAnsi="Times New Roman" w:cs="Times New Roman"/>
          <w:color w:val="000000" w:themeColor="text1"/>
          <w:sz w:val="24"/>
          <w:szCs w:val="24"/>
        </w:rPr>
        <w:t>accrédibilisation</w:t>
      </w:r>
      <w:proofErr w:type="spellEnd"/>
      <w:r w:rsidRPr="010CBDA3">
        <w:rPr>
          <w:rFonts w:ascii="Times New Roman" w:eastAsia="Times New Roman" w:hAnsi="Times New Roman" w:cs="Times New Roman"/>
          <w:color w:val="000000" w:themeColor="text1"/>
          <w:sz w:val="24"/>
          <w:szCs w:val="24"/>
        </w:rPr>
        <w:t xml:space="preserve"> ; </w:t>
      </w:r>
    </w:p>
    <w:p w14:paraId="3BD795C3" w14:textId="7C171F98" w:rsidR="487108F8" w:rsidRDefault="487108F8" w:rsidP="00BD0B31">
      <w:pPr>
        <w:spacing w:after="0" w:line="360" w:lineRule="auto"/>
        <w:ind w:left="720"/>
        <w:jc w:val="both"/>
        <w:rPr>
          <w:rFonts w:ascii="Times New Roman" w:eastAsia="Times New Roman" w:hAnsi="Times New Roman" w:cs="Times New Roman"/>
          <w:color w:val="000000" w:themeColor="text1"/>
          <w:sz w:val="24"/>
          <w:szCs w:val="24"/>
        </w:rPr>
      </w:pPr>
      <w:r w:rsidRPr="010CBDA3">
        <w:rPr>
          <w:rFonts w:ascii="Times New Roman" w:eastAsia="Times New Roman" w:hAnsi="Times New Roman" w:cs="Times New Roman"/>
          <w:color w:val="000000" w:themeColor="text1"/>
          <w:sz w:val="24"/>
          <w:szCs w:val="24"/>
        </w:rPr>
        <w:t>Le consultant pourra également consulter d’autres documents d’étude officiels publiés dans le cadre des VBG.</w:t>
      </w:r>
    </w:p>
    <w:p w14:paraId="55E6CD52" w14:textId="77777777" w:rsidR="00C22F9C" w:rsidRDefault="00A8240B">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Interviews des informateurs clés : La recherche doit inclure des interviews avec les principales parties prenantes du projet.  Le MCFDF, les OSC impliquées dans le projet et celles se trouvant dans la zone d’intervention, y compris le personnel clé du projet, etc.</w:t>
      </w:r>
    </w:p>
    <w:p w14:paraId="125FA865" w14:textId="77777777" w:rsidR="00C22F9C" w:rsidRDefault="00C22F9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29B9CBA8" w14:textId="77777777" w:rsidR="00144CB1" w:rsidRDefault="00144CB1">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57C6C784" w14:textId="77777777" w:rsidR="00144CB1" w:rsidRDefault="00144CB1" w:rsidP="00144CB1">
      <w:pPr>
        <w:pStyle w:val="ListParagraph"/>
        <w:rPr>
          <w:rFonts w:ascii="Times New Roman" w:eastAsia="Times New Roman" w:hAnsi="Times New Roman" w:cs="Times New Roman"/>
          <w:color w:val="000000"/>
          <w:sz w:val="24"/>
          <w:szCs w:val="24"/>
        </w:rPr>
      </w:pPr>
    </w:p>
    <w:p w14:paraId="7FE10AD6" w14:textId="77777777" w:rsidR="00144CB1" w:rsidRDefault="00144CB1" w:rsidP="00144CB1">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p>
    <w:p w14:paraId="7ACBE9DA" w14:textId="77777777" w:rsidR="00C22F9C" w:rsidRDefault="00A8240B">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Entretiens téléphoniques structurés et semi-structurés : le personnel du projet et les informateurs clés résidant hors du département peuvent être approchés par téléphone, e-mail. </w:t>
      </w:r>
    </w:p>
    <w:p w14:paraId="7BD7551D" w14:textId="77777777" w:rsidR="00C22F9C" w:rsidRDefault="00A8240B">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10CBDA3">
        <w:rPr>
          <w:rFonts w:ascii="Times New Roman" w:eastAsia="Times New Roman" w:hAnsi="Times New Roman" w:cs="Times New Roman"/>
          <w:color w:val="000000" w:themeColor="text1"/>
          <w:sz w:val="24"/>
          <w:szCs w:val="24"/>
        </w:rPr>
        <w:t>Consultations des parties prenantes : Consultations avec les groupes de parties prenantes, à savoir les Organisations Communautaires de Base (OCB), les partenaires du projet, etc.</w:t>
      </w:r>
    </w:p>
    <w:p w14:paraId="5C286D60" w14:textId="37F0EC7D" w:rsidR="00C22F9C" w:rsidRDefault="00C22F9C" w:rsidP="00631298">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p>
    <w:p w14:paraId="51618EE0" w14:textId="77777777" w:rsidR="00991DDC" w:rsidRDefault="00991DDC" w:rsidP="00631298">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p>
    <w:p w14:paraId="26B30749" w14:textId="77777777" w:rsidR="00991DDC" w:rsidRDefault="00991DDC" w:rsidP="00631298">
      <w:p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p>
    <w:tbl>
      <w:tblPr>
        <w:tblStyle w:val="TableGrid"/>
        <w:tblW w:w="0" w:type="auto"/>
        <w:tblLayout w:type="fixed"/>
        <w:tblLook w:val="04A0" w:firstRow="1" w:lastRow="0" w:firstColumn="1" w:lastColumn="0" w:noHBand="0" w:noVBand="1"/>
      </w:tblPr>
      <w:tblGrid>
        <w:gridCol w:w="3022"/>
        <w:gridCol w:w="2215"/>
        <w:gridCol w:w="1672"/>
        <w:gridCol w:w="2450"/>
      </w:tblGrid>
      <w:tr w:rsidR="010CBDA3" w14:paraId="78993017" w14:textId="77777777" w:rsidTr="2C21D1C7">
        <w:tc>
          <w:tcPr>
            <w:tcW w:w="3022" w:type="dxa"/>
            <w:tcBorders>
              <w:top w:val="single" w:sz="8" w:space="0" w:color="auto"/>
              <w:left w:val="single" w:sz="8" w:space="0" w:color="auto"/>
              <w:bottom w:val="single" w:sz="8" w:space="0" w:color="auto"/>
              <w:right w:val="single" w:sz="8" w:space="0" w:color="auto"/>
            </w:tcBorders>
          </w:tcPr>
          <w:p w14:paraId="76CA1045" w14:textId="5BABFE66" w:rsidR="010CBDA3" w:rsidRDefault="010CBDA3" w:rsidP="00631298">
            <w:pPr>
              <w:jc w:val="center"/>
              <w:rPr>
                <w:rFonts w:ascii="Times New Roman" w:eastAsia="Times New Roman" w:hAnsi="Times New Roman" w:cs="Times New Roman"/>
                <w:color w:val="000000" w:themeColor="text1"/>
                <w:sz w:val="24"/>
                <w:szCs w:val="24"/>
              </w:rPr>
            </w:pPr>
            <w:proofErr w:type="spellStart"/>
            <w:r w:rsidRPr="010CBDA3">
              <w:rPr>
                <w:rFonts w:ascii="Times New Roman" w:eastAsia="Times New Roman" w:hAnsi="Times New Roman" w:cs="Times New Roman"/>
                <w:b/>
                <w:bCs/>
                <w:color w:val="000000" w:themeColor="text1"/>
                <w:sz w:val="24"/>
                <w:szCs w:val="24"/>
                <w:u w:val="single"/>
                <w:lang w:val="en-GB"/>
              </w:rPr>
              <w:t>Groupe</w:t>
            </w:r>
            <w:proofErr w:type="spellEnd"/>
            <w:r w:rsidRPr="010CBDA3">
              <w:rPr>
                <w:rFonts w:ascii="Times New Roman" w:eastAsia="Times New Roman" w:hAnsi="Times New Roman" w:cs="Times New Roman"/>
                <w:b/>
                <w:bCs/>
                <w:color w:val="000000" w:themeColor="text1"/>
                <w:sz w:val="24"/>
                <w:szCs w:val="24"/>
                <w:u w:val="single"/>
                <w:lang w:val="en-GB"/>
              </w:rPr>
              <w:t xml:space="preserve"> à </w:t>
            </w:r>
            <w:proofErr w:type="spellStart"/>
            <w:r w:rsidRPr="010CBDA3">
              <w:rPr>
                <w:rFonts w:ascii="Times New Roman" w:eastAsia="Times New Roman" w:hAnsi="Times New Roman" w:cs="Times New Roman"/>
                <w:b/>
                <w:bCs/>
                <w:color w:val="000000" w:themeColor="text1"/>
                <w:sz w:val="24"/>
                <w:szCs w:val="24"/>
                <w:u w:val="single"/>
                <w:lang w:val="en-GB"/>
              </w:rPr>
              <w:t>interroger</w:t>
            </w:r>
            <w:proofErr w:type="spellEnd"/>
            <w:r w:rsidRPr="010CBDA3">
              <w:rPr>
                <w:rFonts w:ascii="Times New Roman" w:eastAsia="Times New Roman" w:hAnsi="Times New Roman" w:cs="Times New Roman"/>
                <w:color w:val="000000" w:themeColor="text1"/>
                <w:sz w:val="24"/>
                <w:szCs w:val="24"/>
              </w:rPr>
              <w:t xml:space="preserve"> </w:t>
            </w:r>
          </w:p>
        </w:tc>
        <w:tc>
          <w:tcPr>
            <w:tcW w:w="2215" w:type="dxa"/>
            <w:tcBorders>
              <w:top w:val="single" w:sz="8" w:space="0" w:color="auto"/>
              <w:left w:val="single" w:sz="8" w:space="0" w:color="auto"/>
              <w:bottom w:val="single" w:sz="8" w:space="0" w:color="auto"/>
              <w:right w:val="single" w:sz="8" w:space="0" w:color="auto"/>
            </w:tcBorders>
          </w:tcPr>
          <w:p w14:paraId="2A46454A" w14:textId="15DCFB21" w:rsidR="010CBDA3" w:rsidRDefault="00631298" w:rsidP="00631298">
            <w:pPr>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u w:val="single"/>
                <w:lang w:val="en-GB"/>
              </w:rPr>
              <w:t xml:space="preserve">Type </w:t>
            </w:r>
            <w:proofErr w:type="spellStart"/>
            <w:r>
              <w:rPr>
                <w:rFonts w:ascii="Times New Roman" w:eastAsia="Times New Roman" w:hAnsi="Times New Roman" w:cs="Times New Roman"/>
                <w:b/>
                <w:bCs/>
                <w:color w:val="000000" w:themeColor="text1"/>
                <w:sz w:val="24"/>
                <w:szCs w:val="24"/>
                <w:u w:val="single"/>
                <w:lang w:val="en-GB"/>
              </w:rPr>
              <w:t>d’entretien</w:t>
            </w:r>
            <w:proofErr w:type="spellEnd"/>
            <w:r w:rsidR="010CBDA3" w:rsidRPr="010CBDA3">
              <w:rPr>
                <w:rFonts w:ascii="Times New Roman" w:eastAsia="Times New Roman" w:hAnsi="Times New Roman" w:cs="Times New Roman"/>
                <w:color w:val="000000" w:themeColor="text1"/>
                <w:sz w:val="24"/>
                <w:szCs w:val="24"/>
              </w:rPr>
              <w:t xml:space="preserve"> </w:t>
            </w:r>
          </w:p>
        </w:tc>
        <w:tc>
          <w:tcPr>
            <w:tcW w:w="1672" w:type="dxa"/>
            <w:tcBorders>
              <w:top w:val="single" w:sz="8" w:space="0" w:color="auto"/>
              <w:left w:val="single" w:sz="8" w:space="0" w:color="auto"/>
              <w:bottom w:val="single" w:sz="8" w:space="0" w:color="auto"/>
              <w:right w:val="single" w:sz="8" w:space="0" w:color="auto"/>
            </w:tcBorders>
          </w:tcPr>
          <w:p w14:paraId="68064AE1" w14:textId="3431CEEE" w:rsidR="010CBDA3" w:rsidRDefault="010CBDA3" w:rsidP="00631298">
            <w:pPr>
              <w:jc w:val="center"/>
              <w:rPr>
                <w:rFonts w:ascii="Times New Roman" w:eastAsia="Times New Roman" w:hAnsi="Times New Roman" w:cs="Times New Roman"/>
                <w:color w:val="000000" w:themeColor="text1"/>
                <w:sz w:val="24"/>
                <w:szCs w:val="24"/>
              </w:rPr>
            </w:pPr>
            <w:proofErr w:type="spellStart"/>
            <w:r w:rsidRPr="010CBDA3">
              <w:rPr>
                <w:rFonts w:ascii="Times New Roman" w:eastAsia="Times New Roman" w:hAnsi="Times New Roman" w:cs="Times New Roman"/>
                <w:b/>
                <w:bCs/>
                <w:color w:val="000000" w:themeColor="text1"/>
                <w:sz w:val="24"/>
                <w:szCs w:val="24"/>
                <w:u w:val="single"/>
                <w:lang w:val="en-GB"/>
              </w:rPr>
              <w:t>Nombre</w:t>
            </w:r>
            <w:proofErr w:type="spellEnd"/>
            <w:r w:rsidRPr="010CBDA3">
              <w:rPr>
                <w:rFonts w:ascii="Times New Roman" w:eastAsia="Times New Roman" w:hAnsi="Times New Roman" w:cs="Times New Roman"/>
                <w:color w:val="000000" w:themeColor="text1"/>
                <w:sz w:val="24"/>
                <w:szCs w:val="24"/>
              </w:rPr>
              <w:t xml:space="preserve"> </w:t>
            </w:r>
          </w:p>
        </w:tc>
        <w:tc>
          <w:tcPr>
            <w:tcW w:w="2450" w:type="dxa"/>
            <w:tcBorders>
              <w:top w:val="single" w:sz="8" w:space="0" w:color="auto"/>
              <w:left w:val="single" w:sz="8" w:space="0" w:color="auto"/>
              <w:bottom w:val="single" w:sz="8" w:space="0" w:color="auto"/>
              <w:right w:val="single" w:sz="8" w:space="0" w:color="auto"/>
            </w:tcBorders>
          </w:tcPr>
          <w:p w14:paraId="5D570FE1" w14:textId="19A93B87" w:rsidR="010CBDA3" w:rsidRDefault="010CBDA3" w:rsidP="00631298">
            <w:pPr>
              <w:jc w:val="center"/>
              <w:rPr>
                <w:rFonts w:ascii="Times New Roman" w:eastAsia="Times New Roman" w:hAnsi="Times New Roman" w:cs="Times New Roman"/>
                <w:color w:val="000000" w:themeColor="text1"/>
                <w:sz w:val="24"/>
                <w:szCs w:val="24"/>
                <w:lang w:val="en-GB"/>
              </w:rPr>
            </w:pPr>
            <w:proofErr w:type="spellStart"/>
            <w:r w:rsidRPr="010CBDA3">
              <w:rPr>
                <w:rFonts w:ascii="Times New Roman" w:eastAsia="Times New Roman" w:hAnsi="Times New Roman" w:cs="Times New Roman"/>
                <w:b/>
                <w:bCs/>
                <w:color w:val="000000" w:themeColor="text1"/>
                <w:sz w:val="24"/>
                <w:szCs w:val="24"/>
                <w:u w:val="single"/>
                <w:lang w:val="en-GB"/>
              </w:rPr>
              <w:t>Commentaires</w:t>
            </w:r>
            <w:proofErr w:type="spellEnd"/>
            <w:r w:rsidRPr="010CBDA3">
              <w:rPr>
                <w:rFonts w:ascii="Times New Roman" w:eastAsia="Times New Roman" w:hAnsi="Times New Roman" w:cs="Times New Roman"/>
                <w:color w:val="000000" w:themeColor="text1"/>
                <w:sz w:val="24"/>
                <w:szCs w:val="24"/>
                <w:lang w:val="en-GB"/>
              </w:rPr>
              <w:t xml:space="preserve"> </w:t>
            </w:r>
          </w:p>
        </w:tc>
      </w:tr>
      <w:tr w:rsidR="010CBDA3" w14:paraId="2B6AA724" w14:textId="77777777" w:rsidTr="2C21D1C7">
        <w:tc>
          <w:tcPr>
            <w:tcW w:w="3022" w:type="dxa"/>
            <w:tcBorders>
              <w:top w:val="single" w:sz="8" w:space="0" w:color="auto"/>
              <w:left w:val="single" w:sz="8" w:space="0" w:color="auto"/>
              <w:bottom w:val="single" w:sz="8" w:space="0" w:color="auto"/>
              <w:right w:val="single" w:sz="8" w:space="0" w:color="auto"/>
            </w:tcBorders>
          </w:tcPr>
          <w:p w14:paraId="2D9454BA" w14:textId="12A04CAD" w:rsidR="010CBDA3" w:rsidRDefault="010CBDA3">
            <w:r w:rsidRPr="010CBDA3">
              <w:rPr>
                <w:rFonts w:ascii="Times New Roman" w:eastAsia="Times New Roman" w:hAnsi="Times New Roman" w:cs="Times New Roman"/>
                <w:color w:val="000000" w:themeColor="text1"/>
                <w:sz w:val="24"/>
                <w:szCs w:val="24"/>
              </w:rPr>
              <w:t xml:space="preserve">Institutions étatiques (IBESR, MCFDF, Police/BPM, Justice, Santé) </w:t>
            </w:r>
          </w:p>
        </w:tc>
        <w:tc>
          <w:tcPr>
            <w:tcW w:w="2215" w:type="dxa"/>
            <w:tcBorders>
              <w:top w:val="single" w:sz="8" w:space="0" w:color="auto"/>
              <w:left w:val="single" w:sz="8" w:space="0" w:color="auto"/>
              <w:bottom w:val="single" w:sz="8" w:space="0" w:color="auto"/>
              <w:right w:val="single" w:sz="8" w:space="0" w:color="auto"/>
            </w:tcBorders>
          </w:tcPr>
          <w:p w14:paraId="32B46773" w14:textId="70399A55" w:rsidR="010CBDA3" w:rsidRDefault="010CBDA3">
            <w:proofErr w:type="spellStart"/>
            <w:r w:rsidRPr="010CBDA3">
              <w:rPr>
                <w:rFonts w:ascii="Times New Roman" w:eastAsia="Times New Roman" w:hAnsi="Times New Roman" w:cs="Times New Roman"/>
                <w:color w:val="000000" w:themeColor="text1"/>
                <w:sz w:val="24"/>
                <w:szCs w:val="24"/>
                <w:lang w:val="en-GB"/>
              </w:rPr>
              <w:t>Entretien</w:t>
            </w:r>
            <w:proofErr w:type="spellEnd"/>
            <w:r w:rsidRPr="010CBDA3">
              <w:rPr>
                <w:rFonts w:ascii="Times New Roman" w:eastAsia="Times New Roman" w:hAnsi="Times New Roman" w:cs="Times New Roman"/>
                <w:color w:val="000000" w:themeColor="text1"/>
                <w:sz w:val="24"/>
                <w:szCs w:val="24"/>
                <w:lang w:val="en-GB"/>
              </w:rPr>
              <w:t xml:space="preserve"> </w:t>
            </w:r>
            <w:proofErr w:type="spellStart"/>
            <w:r w:rsidRPr="010CBDA3">
              <w:rPr>
                <w:rFonts w:ascii="Times New Roman" w:eastAsia="Times New Roman" w:hAnsi="Times New Roman" w:cs="Times New Roman"/>
                <w:color w:val="000000" w:themeColor="text1"/>
                <w:sz w:val="24"/>
                <w:szCs w:val="24"/>
                <w:lang w:val="en-GB"/>
              </w:rPr>
              <w:t>individuel</w:t>
            </w:r>
            <w:proofErr w:type="spellEnd"/>
            <w:r w:rsidRPr="010CBDA3">
              <w:rPr>
                <w:rFonts w:ascii="Times New Roman" w:eastAsia="Times New Roman" w:hAnsi="Times New Roman" w:cs="Times New Roman"/>
                <w:color w:val="000000" w:themeColor="text1"/>
                <w:sz w:val="24"/>
                <w:szCs w:val="24"/>
              </w:rPr>
              <w:t xml:space="preserve"> </w:t>
            </w:r>
          </w:p>
        </w:tc>
        <w:tc>
          <w:tcPr>
            <w:tcW w:w="1672" w:type="dxa"/>
            <w:tcBorders>
              <w:top w:val="single" w:sz="8" w:space="0" w:color="auto"/>
              <w:left w:val="single" w:sz="8" w:space="0" w:color="auto"/>
              <w:bottom w:val="single" w:sz="8" w:space="0" w:color="auto"/>
              <w:right w:val="single" w:sz="8" w:space="0" w:color="auto"/>
            </w:tcBorders>
          </w:tcPr>
          <w:p w14:paraId="3F8BBC8A" w14:textId="6A3F0895" w:rsidR="010CBDA3" w:rsidRDefault="010CBDA3" w:rsidP="00631298">
            <w:pPr>
              <w:jc w:val="center"/>
              <w:rPr>
                <w:rFonts w:ascii="Times New Roman" w:eastAsia="Times New Roman" w:hAnsi="Times New Roman" w:cs="Times New Roman"/>
                <w:color w:val="000000" w:themeColor="text1"/>
                <w:sz w:val="24"/>
                <w:szCs w:val="24"/>
                <w:lang w:val="en-GB"/>
              </w:rPr>
            </w:pPr>
            <w:r w:rsidRPr="010CBDA3">
              <w:rPr>
                <w:rFonts w:ascii="Times New Roman" w:eastAsia="Times New Roman" w:hAnsi="Times New Roman" w:cs="Times New Roman"/>
                <w:color w:val="000000" w:themeColor="text1"/>
                <w:sz w:val="24"/>
                <w:szCs w:val="24"/>
                <w:lang w:val="en-GB"/>
              </w:rPr>
              <w:t>5</w:t>
            </w:r>
          </w:p>
        </w:tc>
        <w:tc>
          <w:tcPr>
            <w:tcW w:w="2450" w:type="dxa"/>
            <w:tcBorders>
              <w:top w:val="single" w:sz="8" w:space="0" w:color="auto"/>
              <w:left w:val="single" w:sz="8" w:space="0" w:color="auto"/>
              <w:bottom w:val="single" w:sz="8" w:space="0" w:color="auto"/>
              <w:right w:val="single" w:sz="8" w:space="0" w:color="auto"/>
            </w:tcBorders>
          </w:tcPr>
          <w:p w14:paraId="49CC4444" w14:textId="66B6FC58" w:rsidR="010CBDA3" w:rsidRDefault="010CBDA3" w:rsidP="00631298">
            <w:pPr>
              <w:jc w:val="center"/>
              <w:rPr>
                <w:rFonts w:ascii="Times New Roman" w:eastAsia="Times New Roman" w:hAnsi="Times New Roman" w:cs="Times New Roman"/>
                <w:color w:val="000000" w:themeColor="text1"/>
                <w:sz w:val="24"/>
                <w:szCs w:val="24"/>
                <w:lang w:val="en-GB"/>
              </w:rPr>
            </w:pPr>
            <w:r w:rsidRPr="010CBDA3">
              <w:rPr>
                <w:rFonts w:ascii="Times New Roman" w:eastAsia="Times New Roman" w:hAnsi="Times New Roman" w:cs="Times New Roman"/>
                <w:color w:val="000000" w:themeColor="text1"/>
                <w:sz w:val="24"/>
                <w:szCs w:val="24"/>
                <w:lang w:val="en-GB"/>
              </w:rPr>
              <w:t xml:space="preserve">- </w:t>
            </w:r>
          </w:p>
        </w:tc>
      </w:tr>
      <w:tr w:rsidR="010CBDA3" w14:paraId="671FD76A" w14:textId="77777777" w:rsidTr="2C21D1C7">
        <w:tc>
          <w:tcPr>
            <w:tcW w:w="3022" w:type="dxa"/>
            <w:tcBorders>
              <w:top w:val="single" w:sz="8" w:space="0" w:color="auto"/>
              <w:left w:val="single" w:sz="8" w:space="0" w:color="auto"/>
              <w:bottom w:val="single" w:sz="8" w:space="0" w:color="auto"/>
              <w:right w:val="single" w:sz="8" w:space="0" w:color="auto"/>
            </w:tcBorders>
          </w:tcPr>
          <w:p w14:paraId="6EDF9BFA" w14:textId="350834C2" w:rsidR="010CBDA3" w:rsidRDefault="010CBDA3">
            <w:r w:rsidRPr="010CBDA3">
              <w:rPr>
                <w:rFonts w:ascii="Times New Roman" w:eastAsia="Times New Roman" w:hAnsi="Times New Roman" w:cs="Times New Roman"/>
                <w:color w:val="000000" w:themeColor="text1"/>
                <w:sz w:val="24"/>
                <w:szCs w:val="24"/>
              </w:rPr>
              <w:t xml:space="preserve">Centres de santé dans les zones d’intervention </w:t>
            </w:r>
          </w:p>
        </w:tc>
        <w:tc>
          <w:tcPr>
            <w:tcW w:w="2215" w:type="dxa"/>
            <w:tcBorders>
              <w:top w:val="single" w:sz="8" w:space="0" w:color="auto"/>
              <w:left w:val="single" w:sz="8" w:space="0" w:color="auto"/>
              <w:bottom w:val="single" w:sz="8" w:space="0" w:color="auto"/>
              <w:right w:val="single" w:sz="8" w:space="0" w:color="auto"/>
            </w:tcBorders>
          </w:tcPr>
          <w:p w14:paraId="4AEF4C85" w14:textId="6CC7A8DE" w:rsidR="010CBDA3" w:rsidRDefault="010CBDA3">
            <w:proofErr w:type="spellStart"/>
            <w:r w:rsidRPr="010CBDA3">
              <w:rPr>
                <w:rFonts w:ascii="Times New Roman" w:eastAsia="Times New Roman" w:hAnsi="Times New Roman" w:cs="Times New Roman"/>
                <w:color w:val="000000" w:themeColor="text1"/>
                <w:sz w:val="24"/>
                <w:szCs w:val="24"/>
                <w:lang w:val="en-GB"/>
              </w:rPr>
              <w:t>Entretien</w:t>
            </w:r>
            <w:proofErr w:type="spellEnd"/>
            <w:r w:rsidRPr="010CBDA3">
              <w:rPr>
                <w:rFonts w:ascii="Times New Roman" w:eastAsia="Times New Roman" w:hAnsi="Times New Roman" w:cs="Times New Roman"/>
                <w:color w:val="000000" w:themeColor="text1"/>
                <w:sz w:val="24"/>
                <w:szCs w:val="24"/>
                <w:lang w:val="en-GB"/>
              </w:rPr>
              <w:t xml:space="preserve"> </w:t>
            </w:r>
            <w:proofErr w:type="spellStart"/>
            <w:r w:rsidRPr="010CBDA3">
              <w:rPr>
                <w:rFonts w:ascii="Times New Roman" w:eastAsia="Times New Roman" w:hAnsi="Times New Roman" w:cs="Times New Roman"/>
                <w:color w:val="000000" w:themeColor="text1"/>
                <w:sz w:val="24"/>
                <w:szCs w:val="24"/>
                <w:lang w:val="en-GB"/>
              </w:rPr>
              <w:t>individuel</w:t>
            </w:r>
            <w:proofErr w:type="spellEnd"/>
            <w:r w:rsidRPr="010CBDA3">
              <w:rPr>
                <w:rFonts w:ascii="Times New Roman" w:eastAsia="Times New Roman" w:hAnsi="Times New Roman" w:cs="Times New Roman"/>
                <w:color w:val="000000" w:themeColor="text1"/>
                <w:sz w:val="24"/>
                <w:szCs w:val="24"/>
              </w:rPr>
              <w:t xml:space="preserve"> </w:t>
            </w:r>
          </w:p>
        </w:tc>
        <w:tc>
          <w:tcPr>
            <w:tcW w:w="1672" w:type="dxa"/>
            <w:tcBorders>
              <w:top w:val="single" w:sz="8" w:space="0" w:color="auto"/>
              <w:left w:val="single" w:sz="8" w:space="0" w:color="auto"/>
              <w:bottom w:val="single" w:sz="8" w:space="0" w:color="auto"/>
              <w:right w:val="single" w:sz="8" w:space="0" w:color="auto"/>
            </w:tcBorders>
          </w:tcPr>
          <w:p w14:paraId="654F4B69" w14:textId="5A568E16" w:rsidR="010CBDA3" w:rsidRDefault="010CBDA3" w:rsidP="00631298">
            <w:pPr>
              <w:jc w:val="center"/>
              <w:rPr>
                <w:rFonts w:ascii="Times New Roman" w:eastAsia="Times New Roman" w:hAnsi="Times New Roman" w:cs="Times New Roman"/>
                <w:color w:val="000000" w:themeColor="text1"/>
                <w:sz w:val="24"/>
                <w:szCs w:val="24"/>
                <w:lang w:val="en-GB"/>
              </w:rPr>
            </w:pPr>
            <w:r w:rsidRPr="010CBDA3">
              <w:rPr>
                <w:rFonts w:ascii="Times New Roman" w:eastAsia="Times New Roman" w:hAnsi="Times New Roman" w:cs="Times New Roman"/>
                <w:color w:val="000000" w:themeColor="text1"/>
                <w:sz w:val="24"/>
                <w:szCs w:val="24"/>
                <w:lang w:val="en-GB"/>
              </w:rPr>
              <w:t>11</w:t>
            </w:r>
          </w:p>
        </w:tc>
        <w:tc>
          <w:tcPr>
            <w:tcW w:w="2450" w:type="dxa"/>
            <w:tcBorders>
              <w:top w:val="single" w:sz="8" w:space="0" w:color="auto"/>
              <w:left w:val="single" w:sz="8" w:space="0" w:color="auto"/>
              <w:bottom w:val="single" w:sz="8" w:space="0" w:color="auto"/>
              <w:right w:val="single" w:sz="8" w:space="0" w:color="auto"/>
            </w:tcBorders>
          </w:tcPr>
          <w:p w14:paraId="5CCB239B" w14:textId="4CE4C29A" w:rsidR="010CBDA3" w:rsidRPr="00F14639" w:rsidRDefault="00F14639" w:rsidP="00F14639">
            <w:pPr>
              <w:rPr>
                <w:rFonts w:ascii="Times New Roman" w:eastAsia="Times New Roman" w:hAnsi="Times New Roman" w:cs="Times New Roman"/>
                <w:color w:val="000000" w:themeColor="text1"/>
                <w:sz w:val="24"/>
                <w:szCs w:val="24"/>
              </w:rPr>
            </w:pPr>
            <w:r w:rsidRPr="00F14639">
              <w:rPr>
                <w:rFonts w:ascii="Times New Roman" w:eastAsia="Times New Roman" w:hAnsi="Times New Roman" w:cs="Times New Roman"/>
                <w:color w:val="000000" w:themeColor="text1"/>
                <w:sz w:val="24"/>
                <w:szCs w:val="24"/>
              </w:rPr>
              <w:t xml:space="preserve">3 à Ferrier, 2 à </w:t>
            </w:r>
            <w:proofErr w:type="spellStart"/>
            <w:r w:rsidRPr="00F14639">
              <w:rPr>
                <w:rFonts w:ascii="Times New Roman" w:eastAsia="Times New Roman" w:hAnsi="Times New Roman" w:cs="Times New Roman"/>
                <w:color w:val="000000" w:themeColor="text1"/>
                <w:sz w:val="24"/>
                <w:szCs w:val="24"/>
              </w:rPr>
              <w:t>Capotille</w:t>
            </w:r>
            <w:proofErr w:type="spellEnd"/>
            <w:r w:rsidRPr="00F14639">
              <w:rPr>
                <w:rFonts w:ascii="Times New Roman" w:eastAsia="Times New Roman" w:hAnsi="Times New Roman" w:cs="Times New Roman"/>
                <w:color w:val="000000" w:themeColor="text1"/>
                <w:sz w:val="24"/>
                <w:szCs w:val="24"/>
              </w:rPr>
              <w:t xml:space="preserve"> et 6 à Ouanaminthe</w:t>
            </w:r>
            <w:r w:rsidR="010CBDA3" w:rsidRPr="00F14639">
              <w:rPr>
                <w:rFonts w:ascii="Times New Roman" w:eastAsia="Times New Roman" w:hAnsi="Times New Roman" w:cs="Times New Roman"/>
                <w:color w:val="000000" w:themeColor="text1"/>
                <w:sz w:val="24"/>
                <w:szCs w:val="24"/>
              </w:rPr>
              <w:t xml:space="preserve"> </w:t>
            </w:r>
          </w:p>
          <w:p w14:paraId="5EE24F7D" w14:textId="6A80BDA6" w:rsidR="010CBDA3" w:rsidRPr="00F14639" w:rsidRDefault="010CBDA3" w:rsidP="00631298">
            <w:pPr>
              <w:jc w:val="center"/>
              <w:rPr>
                <w:rFonts w:ascii="Times New Roman" w:eastAsia="Times New Roman" w:hAnsi="Times New Roman" w:cs="Times New Roman"/>
                <w:color w:val="000000" w:themeColor="text1"/>
                <w:sz w:val="24"/>
                <w:szCs w:val="24"/>
              </w:rPr>
            </w:pPr>
            <w:r w:rsidRPr="00F14639">
              <w:rPr>
                <w:rFonts w:ascii="Times New Roman" w:eastAsia="Times New Roman" w:hAnsi="Times New Roman" w:cs="Times New Roman"/>
                <w:color w:val="000000" w:themeColor="text1"/>
                <w:sz w:val="24"/>
                <w:szCs w:val="24"/>
              </w:rPr>
              <w:t xml:space="preserve"> </w:t>
            </w:r>
          </w:p>
        </w:tc>
      </w:tr>
      <w:tr w:rsidR="010CBDA3" w14:paraId="6D34C642" w14:textId="77777777" w:rsidTr="2C21D1C7">
        <w:trPr>
          <w:trHeight w:val="345"/>
        </w:trPr>
        <w:tc>
          <w:tcPr>
            <w:tcW w:w="3022" w:type="dxa"/>
            <w:tcBorders>
              <w:top w:val="single" w:sz="8" w:space="0" w:color="auto"/>
              <w:left w:val="single" w:sz="8" w:space="0" w:color="auto"/>
              <w:bottom w:val="single" w:sz="8" w:space="0" w:color="auto"/>
              <w:right w:val="single" w:sz="8" w:space="0" w:color="auto"/>
            </w:tcBorders>
          </w:tcPr>
          <w:p w14:paraId="6438F457" w14:textId="05A65E75" w:rsidR="010CBDA3" w:rsidRDefault="010CBDA3">
            <w:r w:rsidRPr="010CBDA3">
              <w:rPr>
                <w:rFonts w:ascii="Times New Roman" w:eastAsia="Times New Roman" w:hAnsi="Times New Roman" w:cs="Times New Roman"/>
                <w:color w:val="000000" w:themeColor="text1"/>
                <w:sz w:val="24"/>
                <w:szCs w:val="24"/>
              </w:rPr>
              <w:t xml:space="preserve">Institutions travaillant avec des migrants </w:t>
            </w:r>
          </w:p>
        </w:tc>
        <w:tc>
          <w:tcPr>
            <w:tcW w:w="2215" w:type="dxa"/>
            <w:tcBorders>
              <w:top w:val="single" w:sz="8" w:space="0" w:color="auto"/>
              <w:left w:val="single" w:sz="8" w:space="0" w:color="auto"/>
              <w:bottom w:val="single" w:sz="8" w:space="0" w:color="auto"/>
              <w:right w:val="single" w:sz="8" w:space="0" w:color="auto"/>
            </w:tcBorders>
          </w:tcPr>
          <w:p w14:paraId="43A61B22" w14:textId="4567BCC6" w:rsidR="010CBDA3" w:rsidRDefault="010CBDA3">
            <w:proofErr w:type="spellStart"/>
            <w:r w:rsidRPr="010CBDA3">
              <w:rPr>
                <w:rFonts w:ascii="Times New Roman" w:eastAsia="Times New Roman" w:hAnsi="Times New Roman" w:cs="Times New Roman"/>
                <w:color w:val="000000" w:themeColor="text1"/>
                <w:sz w:val="24"/>
                <w:szCs w:val="24"/>
                <w:lang w:val="en-GB"/>
              </w:rPr>
              <w:t>Entretien</w:t>
            </w:r>
            <w:proofErr w:type="spellEnd"/>
            <w:r w:rsidRPr="010CBDA3">
              <w:rPr>
                <w:rFonts w:ascii="Times New Roman" w:eastAsia="Times New Roman" w:hAnsi="Times New Roman" w:cs="Times New Roman"/>
                <w:color w:val="000000" w:themeColor="text1"/>
                <w:sz w:val="24"/>
                <w:szCs w:val="24"/>
                <w:lang w:val="en-GB"/>
              </w:rPr>
              <w:t xml:space="preserve"> </w:t>
            </w:r>
            <w:proofErr w:type="spellStart"/>
            <w:r w:rsidRPr="010CBDA3">
              <w:rPr>
                <w:rFonts w:ascii="Times New Roman" w:eastAsia="Times New Roman" w:hAnsi="Times New Roman" w:cs="Times New Roman"/>
                <w:color w:val="000000" w:themeColor="text1"/>
                <w:sz w:val="24"/>
                <w:szCs w:val="24"/>
                <w:lang w:val="en-GB"/>
              </w:rPr>
              <w:t>individuel</w:t>
            </w:r>
            <w:proofErr w:type="spellEnd"/>
            <w:r w:rsidRPr="010CBDA3">
              <w:rPr>
                <w:rFonts w:ascii="Times New Roman" w:eastAsia="Times New Roman" w:hAnsi="Times New Roman" w:cs="Times New Roman"/>
                <w:color w:val="000000" w:themeColor="text1"/>
                <w:sz w:val="24"/>
                <w:szCs w:val="24"/>
              </w:rPr>
              <w:t xml:space="preserve"> </w:t>
            </w:r>
          </w:p>
        </w:tc>
        <w:tc>
          <w:tcPr>
            <w:tcW w:w="1672" w:type="dxa"/>
            <w:tcBorders>
              <w:top w:val="single" w:sz="8" w:space="0" w:color="auto"/>
              <w:left w:val="single" w:sz="8" w:space="0" w:color="auto"/>
              <w:bottom w:val="single" w:sz="8" w:space="0" w:color="auto"/>
              <w:right w:val="single" w:sz="8" w:space="0" w:color="auto"/>
            </w:tcBorders>
          </w:tcPr>
          <w:p w14:paraId="00F3DF0C" w14:textId="11386C7C" w:rsidR="010CBDA3" w:rsidRDefault="010CBDA3" w:rsidP="00631298">
            <w:pPr>
              <w:jc w:val="center"/>
              <w:rPr>
                <w:rFonts w:ascii="Times New Roman" w:eastAsia="Times New Roman" w:hAnsi="Times New Roman" w:cs="Times New Roman"/>
                <w:color w:val="000000" w:themeColor="text1"/>
                <w:sz w:val="24"/>
                <w:szCs w:val="24"/>
                <w:lang w:val="en-GB"/>
              </w:rPr>
            </w:pPr>
            <w:r w:rsidRPr="010CBDA3">
              <w:rPr>
                <w:rFonts w:ascii="Times New Roman" w:eastAsia="Times New Roman" w:hAnsi="Times New Roman" w:cs="Times New Roman"/>
                <w:color w:val="000000" w:themeColor="text1"/>
                <w:sz w:val="24"/>
                <w:szCs w:val="24"/>
                <w:lang w:val="en-GB"/>
              </w:rPr>
              <w:t>4</w:t>
            </w:r>
          </w:p>
        </w:tc>
        <w:tc>
          <w:tcPr>
            <w:tcW w:w="2450" w:type="dxa"/>
            <w:tcBorders>
              <w:top w:val="single" w:sz="8" w:space="0" w:color="auto"/>
              <w:left w:val="single" w:sz="8" w:space="0" w:color="auto"/>
              <w:bottom w:val="single" w:sz="8" w:space="0" w:color="auto"/>
              <w:right w:val="single" w:sz="8" w:space="0" w:color="auto"/>
            </w:tcBorders>
          </w:tcPr>
          <w:p w14:paraId="65B39BB0" w14:textId="43126FB3" w:rsidR="010CBDA3" w:rsidRDefault="010CBDA3">
            <w:r w:rsidRPr="010CBDA3">
              <w:rPr>
                <w:rFonts w:ascii="Times New Roman" w:eastAsia="Times New Roman" w:hAnsi="Times New Roman" w:cs="Times New Roman"/>
                <w:color w:val="000000" w:themeColor="text1"/>
                <w:sz w:val="24"/>
                <w:szCs w:val="24"/>
              </w:rPr>
              <w:t xml:space="preserve">Solidarité frontalière, </w:t>
            </w:r>
            <w:proofErr w:type="spellStart"/>
            <w:r w:rsidRPr="010CBDA3">
              <w:rPr>
                <w:rFonts w:ascii="Times New Roman" w:eastAsia="Times New Roman" w:hAnsi="Times New Roman" w:cs="Times New Roman"/>
                <w:color w:val="000000" w:themeColor="text1"/>
                <w:sz w:val="24"/>
                <w:szCs w:val="24"/>
              </w:rPr>
              <w:t>Croix-rouge</w:t>
            </w:r>
            <w:proofErr w:type="spellEnd"/>
            <w:r w:rsidRPr="010CBDA3">
              <w:rPr>
                <w:rFonts w:ascii="Times New Roman" w:eastAsia="Times New Roman" w:hAnsi="Times New Roman" w:cs="Times New Roman"/>
                <w:color w:val="000000" w:themeColor="text1"/>
                <w:sz w:val="24"/>
                <w:szCs w:val="24"/>
              </w:rPr>
              <w:t xml:space="preserve">, OIM, SSJ </w:t>
            </w:r>
          </w:p>
        </w:tc>
      </w:tr>
      <w:tr w:rsidR="010CBDA3" w14:paraId="0DBE9C10" w14:textId="77777777" w:rsidTr="2C21D1C7">
        <w:tc>
          <w:tcPr>
            <w:tcW w:w="3022" w:type="dxa"/>
            <w:tcBorders>
              <w:top w:val="single" w:sz="8" w:space="0" w:color="auto"/>
              <w:left w:val="single" w:sz="8" w:space="0" w:color="auto"/>
              <w:bottom w:val="single" w:sz="8" w:space="0" w:color="auto"/>
              <w:right w:val="single" w:sz="8" w:space="0" w:color="auto"/>
            </w:tcBorders>
          </w:tcPr>
          <w:p w14:paraId="14444EA4" w14:textId="7AE649CF" w:rsidR="010CBDA3" w:rsidRDefault="010CBDA3">
            <w:r w:rsidRPr="010CBDA3">
              <w:rPr>
                <w:rFonts w:ascii="Times New Roman" w:eastAsia="Times New Roman" w:hAnsi="Times New Roman" w:cs="Times New Roman"/>
                <w:color w:val="000000" w:themeColor="text1"/>
                <w:sz w:val="24"/>
                <w:szCs w:val="24"/>
                <w:lang w:val="en-GB"/>
              </w:rPr>
              <w:t xml:space="preserve">BAL (Bureau Assistance </w:t>
            </w:r>
            <w:proofErr w:type="spellStart"/>
            <w:r w:rsidRPr="010CBDA3">
              <w:rPr>
                <w:rFonts w:ascii="Times New Roman" w:eastAsia="Times New Roman" w:hAnsi="Times New Roman" w:cs="Times New Roman"/>
                <w:color w:val="000000" w:themeColor="text1"/>
                <w:sz w:val="24"/>
                <w:szCs w:val="24"/>
                <w:lang w:val="en-GB"/>
              </w:rPr>
              <w:t>Légal</w:t>
            </w:r>
            <w:proofErr w:type="spellEnd"/>
            <w:r w:rsidRPr="010CBDA3">
              <w:rPr>
                <w:rFonts w:ascii="Times New Roman" w:eastAsia="Times New Roman" w:hAnsi="Times New Roman" w:cs="Times New Roman"/>
                <w:color w:val="000000" w:themeColor="text1"/>
                <w:sz w:val="24"/>
                <w:szCs w:val="24"/>
                <w:lang w:val="en-GB"/>
              </w:rPr>
              <w:t>)</w:t>
            </w:r>
            <w:r w:rsidRPr="010CBDA3">
              <w:rPr>
                <w:rFonts w:ascii="Times New Roman" w:eastAsia="Times New Roman" w:hAnsi="Times New Roman" w:cs="Times New Roman"/>
                <w:color w:val="000000" w:themeColor="text1"/>
                <w:sz w:val="24"/>
                <w:szCs w:val="24"/>
              </w:rPr>
              <w:t xml:space="preserve"> </w:t>
            </w:r>
          </w:p>
        </w:tc>
        <w:tc>
          <w:tcPr>
            <w:tcW w:w="2215" w:type="dxa"/>
            <w:tcBorders>
              <w:top w:val="single" w:sz="8" w:space="0" w:color="auto"/>
              <w:left w:val="single" w:sz="8" w:space="0" w:color="auto"/>
              <w:bottom w:val="single" w:sz="8" w:space="0" w:color="auto"/>
              <w:right w:val="single" w:sz="8" w:space="0" w:color="auto"/>
            </w:tcBorders>
          </w:tcPr>
          <w:p w14:paraId="782D0BD8" w14:textId="628E16AD" w:rsidR="010CBDA3" w:rsidRDefault="010CBDA3">
            <w:proofErr w:type="spellStart"/>
            <w:r w:rsidRPr="010CBDA3">
              <w:rPr>
                <w:rFonts w:ascii="Times New Roman" w:eastAsia="Times New Roman" w:hAnsi="Times New Roman" w:cs="Times New Roman"/>
                <w:color w:val="000000" w:themeColor="text1"/>
                <w:sz w:val="24"/>
                <w:szCs w:val="24"/>
                <w:lang w:val="en-GB"/>
              </w:rPr>
              <w:t>Entretien</w:t>
            </w:r>
            <w:proofErr w:type="spellEnd"/>
            <w:r w:rsidRPr="010CBDA3">
              <w:rPr>
                <w:rFonts w:ascii="Times New Roman" w:eastAsia="Times New Roman" w:hAnsi="Times New Roman" w:cs="Times New Roman"/>
                <w:color w:val="000000" w:themeColor="text1"/>
                <w:sz w:val="24"/>
                <w:szCs w:val="24"/>
                <w:lang w:val="en-GB"/>
              </w:rPr>
              <w:t xml:space="preserve"> </w:t>
            </w:r>
            <w:proofErr w:type="spellStart"/>
            <w:r w:rsidRPr="010CBDA3">
              <w:rPr>
                <w:rFonts w:ascii="Times New Roman" w:eastAsia="Times New Roman" w:hAnsi="Times New Roman" w:cs="Times New Roman"/>
                <w:color w:val="000000" w:themeColor="text1"/>
                <w:sz w:val="24"/>
                <w:szCs w:val="24"/>
                <w:lang w:val="en-GB"/>
              </w:rPr>
              <w:t>individuel</w:t>
            </w:r>
            <w:proofErr w:type="spellEnd"/>
            <w:r w:rsidRPr="010CBDA3">
              <w:rPr>
                <w:rFonts w:ascii="Times New Roman" w:eastAsia="Times New Roman" w:hAnsi="Times New Roman" w:cs="Times New Roman"/>
                <w:color w:val="000000" w:themeColor="text1"/>
                <w:sz w:val="24"/>
                <w:szCs w:val="24"/>
              </w:rPr>
              <w:t xml:space="preserve"> </w:t>
            </w:r>
          </w:p>
        </w:tc>
        <w:tc>
          <w:tcPr>
            <w:tcW w:w="1672" w:type="dxa"/>
            <w:tcBorders>
              <w:top w:val="single" w:sz="8" w:space="0" w:color="auto"/>
              <w:left w:val="single" w:sz="8" w:space="0" w:color="auto"/>
              <w:bottom w:val="single" w:sz="8" w:space="0" w:color="auto"/>
              <w:right w:val="single" w:sz="8" w:space="0" w:color="auto"/>
            </w:tcBorders>
          </w:tcPr>
          <w:p w14:paraId="649AF2FB" w14:textId="67DFFDA4" w:rsidR="010CBDA3" w:rsidRDefault="010CBDA3" w:rsidP="00631298">
            <w:pPr>
              <w:jc w:val="center"/>
              <w:rPr>
                <w:rFonts w:ascii="Times New Roman" w:eastAsia="Times New Roman" w:hAnsi="Times New Roman" w:cs="Times New Roman"/>
                <w:color w:val="000000" w:themeColor="text1"/>
                <w:sz w:val="24"/>
                <w:szCs w:val="24"/>
                <w:lang w:val="en-GB"/>
              </w:rPr>
            </w:pPr>
            <w:r w:rsidRPr="010CBDA3">
              <w:rPr>
                <w:rFonts w:ascii="Times New Roman" w:eastAsia="Times New Roman" w:hAnsi="Times New Roman" w:cs="Times New Roman"/>
                <w:color w:val="000000" w:themeColor="text1"/>
                <w:sz w:val="24"/>
                <w:szCs w:val="24"/>
                <w:lang w:val="en-GB"/>
              </w:rPr>
              <w:t>3</w:t>
            </w:r>
          </w:p>
        </w:tc>
        <w:tc>
          <w:tcPr>
            <w:tcW w:w="2450" w:type="dxa"/>
            <w:tcBorders>
              <w:top w:val="single" w:sz="8" w:space="0" w:color="auto"/>
              <w:left w:val="single" w:sz="8" w:space="0" w:color="auto"/>
              <w:bottom w:val="single" w:sz="8" w:space="0" w:color="auto"/>
              <w:right w:val="single" w:sz="8" w:space="0" w:color="auto"/>
            </w:tcBorders>
          </w:tcPr>
          <w:p w14:paraId="6D843C93" w14:textId="6C125649" w:rsidR="010CBDA3" w:rsidRDefault="00F14639" w:rsidP="00F14639">
            <w:r>
              <w:rPr>
                <w:rFonts w:ascii="Times New Roman" w:eastAsia="Times New Roman" w:hAnsi="Times New Roman" w:cs="Times New Roman"/>
                <w:color w:val="000000" w:themeColor="text1"/>
                <w:sz w:val="24"/>
                <w:szCs w:val="24"/>
                <w:lang w:val="en-GB"/>
              </w:rPr>
              <w:t>Une par commune</w:t>
            </w:r>
          </w:p>
        </w:tc>
      </w:tr>
      <w:tr w:rsidR="010CBDA3" w14:paraId="5B546378" w14:textId="77777777" w:rsidTr="2C21D1C7">
        <w:tc>
          <w:tcPr>
            <w:tcW w:w="3022" w:type="dxa"/>
            <w:tcBorders>
              <w:top w:val="single" w:sz="8" w:space="0" w:color="auto"/>
              <w:left w:val="single" w:sz="8" w:space="0" w:color="auto"/>
              <w:bottom w:val="single" w:sz="8" w:space="0" w:color="auto"/>
              <w:right w:val="single" w:sz="8" w:space="0" w:color="auto"/>
            </w:tcBorders>
          </w:tcPr>
          <w:p w14:paraId="53AF9A0F" w14:textId="394B4BB6" w:rsidR="010CBDA3" w:rsidRDefault="010CBDA3">
            <w:r w:rsidRPr="010CBDA3">
              <w:rPr>
                <w:rFonts w:ascii="Times New Roman" w:eastAsia="Times New Roman" w:hAnsi="Times New Roman" w:cs="Times New Roman"/>
                <w:color w:val="000000" w:themeColor="text1"/>
                <w:sz w:val="24"/>
                <w:szCs w:val="24"/>
                <w:lang w:val="en-GB"/>
              </w:rPr>
              <w:t xml:space="preserve">OSC </w:t>
            </w:r>
          </w:p>
        </w:tc>
        <w:tc>
          <w:tcPr>
            <w:tcW w:w="2215" w:type="dxa"/>
            <w:tcBorders>
              <w:top w:val="single" w:sz="8" w:space="0" w:color="auto"/>
              <w:left w:val="single" w:sz="8" w:space="0" w:color="auto"/>
              <w:bottom w:val="single" w:sz="8" w:space="0" w:color="auto"/>
              <w:right w:val="single" w:sz="8" w:space="0" w:color="auto"/>
            </w:tcBorders>
          </w:tcPr>
          <w:p w14:paraId="09E82535" w14:textId="2B77889B" w:rsidR="010CBDA3" w:rsidRDefault="010CBDA3">
            <w:proofErr w:type="spellStart"/>
            <w:r w:rsidRPr="010CBDA3">
              <w:rPr>
                <w:rFonts w:ascii="Times New Roman" w:eastAsia="Times New Roman" w:hAnsi="Times New Roman" w:cs="Times New Roman"/>
                <w:color w:val="000000" w:themeColor="text1"/>
                <w:sz w:val="24"/>
                <w:szCs w:val="24"/>
                <w:lang w:val="en-GB"/>
              </w:rPr>
              <w:t>Entretien</w:t>
            </w:r>
            <w:proofErr w:type="spellEnd"/>
            <w:r w:rsidRPr="010CBDA3">
              <w:rPr>
                <w:rFonts w:ascii="Times New Roman" w:eastAsia="Times New Roman" w:hAnsi="Times New Roman" w:cs="Times New Roman"/>
                <w:color w:val="000000" w:themeColor="text1"/>
                <w:sz w:val="24"/>
                <w:szCs w:val="24"/>
                <w:lang w:val="en-GB"/>
              </w:rPr>
              <w:t xml:space="preserve"> </w:t>
            </w:r>
            <w:proofErr w:type="spellStart"/>
            <w:r w:rsidRPr="010CBDA3">
              <w:rPr>
                <w:rFonts w:ascii="Times New Roman" w:eastAsia="Times New Roman" w:hAnsi="Times New Roman" w:cs="Times New Roman"/>
                <w:color w:val="000000" w:themeColor="text1"/>
                <w:sz w:val="24"/>
                <w:szCs w:val="24"/>
                <w:lang w:val="en-GB"/>
              </w:rPr>
              <w:t>individuel</w:t>
            </w:r>
            <w:proofErr w:type="spellEnd"/>
            <w:r w:rsidRPr="010CBDA3">
              <w:rPr>
                <w:rFonts w:ascii="Times New Roman" w:eastAsia="Times New Roman" w:hAnsi="Times New Roman" w:cs="Times New Roman"/>
                <w:color w:val="000000" w:themeColor="text1"/>
                <w:sz w:val="24"/>
                <w:szCs w:val="24"/>
                <w:lang w:val="en-GB"/>
              </w:rPr>
              <w:t xml:space="preserve"> </w:t>
            </w:r>
          </w:p>
        </w:tc>
        <w:tc>
          <w:tcPr>
            <w:tcW w:w="1672" w:type="dxa"/>
            <w:tcBorders>
              <w:top w:val="single" w:sz="8" w:space="0" w:color="auto"/>
              <w:left w:val="single" w:sz="8" w:space="0" w:color="auto"/>
              <w:bottom w:val="single" w:sz="8" w:space="0" w:color="auto"/>
              <w:right w:val="single" w:sz="8" w:space="0" w:color="auto"/>
            </w:tcBorders>
          </w:tcPr>
          <w:p w14:paraId="0CCA5CC8" w14:textId="6CD9479E" w:rsidR="010CBDA3" w:rsidRDefault="010CBDA3" w:rsidP="00631298">
            <w:pPr>
              <w:jc w:val="center"/>
              <w:rPr>
                <w:rFonts w:ascii="Times New Roman" w:eastAsia="Times New Roman" w:hAnsi="Times New Roman" w:cs="Times New Roman"/>
                <w:color w:val="000000" w:themeColor="text1"/>
                <w:sz w:val="24"/>
                <w:szCs w:val="24"/>
                <w:lang w:val="en-GB"/>
              </w:rPr>
            </w:pPr>
            <w:r w:rsidRPr="2C21D1C7">
              <w:rPr>
                <w:rFonts w:ascii="Times New Roman" w:eastAsia="Times New Roman" w:hAnsi="Times New Roman" w:cs="Times New Roman"/>
                <w:color w:val="000000" w:themeColor="text1"/>
                <w:sz w:val="24"/>
                <w:szCs w:val="24"/>
                <w:lang w:val="en-GB"/>
              </w:rPr>
              <w:t>13</w:t>
            </w:r>
          </w:p>
        </w:tc>
        <w:tc>
          <w:tcPr>
            <w:tcW w:w="2450" w:type="dxa"/>
            <w:tcBorders>
              <w:top w:val="single" w:sz="8" w:space="0" w:color="auto"/>
              <w:left w:val="single" w:sz="8" w:space="0" w:color="auto"/>
              <w:bottom w:val="single" w:sz="8" w:space="0" w:color="auto"/>
              <w:right w:val="single" w:sz="8" w:space="0" w:color="auto"/>
            </w:tcBorders>
          </w:tcPr>
          <w:p w14:paraId="3D6D7DE1" w14:textId="685B1E2D" w:rsidR="010CBDA3" w:rsidRDefault="010CBDA3" w:rsidP="2C21D1C7">
            <w:pPr>
              <w:rPr>
                <w:rFonts w:ascii="Times New Roman" w:eastAsia="Times New Roman" w:hAnsi="Times New Roman" w:cs="Times New Roman"/>
                <w:color w:val="000000" w:themeColor="text1"/>
                <w:sz w:val="24"/>
                <w:szCs w:val="24"/>
              </w:rPr>
            </w:pPr>
            <w:r w:rsidRPr="2C21D1C7">
              <w:rPr>
                <w:rFonts w:ascii="Times New Roman" w:eastAsia="Times New Roman" w:hAnsi="Times New Roman" w:cs="Times New Roman"/>
                <w:color w:val="000000" w:themeColor="text1"/>
                <w:sz w:val="24"/>
                <w:szCs w:val="24"/>
              </w:rPr>
              <w:t xml:space="preserve">3 à Ferrier, 7 à </w:t>
            </w:r>
            <w:proofErr w:type="spellStart"/>
            <w:r w:rsidRPr="2C21D1C7">
              <w:rPr>
                <w:rFonts w:ascii="Times New Roman" w:eastAsia="Times New Roman" w:hAnsi="Times New Roman" w:cs="Times New Roman"/>
                <w:color w:val="000000" w:themeColor="text1"/>
                <w:sz w:val="24"/>
                <w:szCs w:val="24"/>
              </w:rPr>
              <w:t>Ouanaminthe</w:t>
            </w:r>
            <w:proofErr w:type="spellEnd"/>
            <w:r w:rsidRPr="2C21D1C7">
              <w:rPr>
                <w:rFonts w:ascii="Times New Roman" w:eastAsia="Times New Roman" w:hAnsi="Times New Roman" w:cs="Times New Roman"/>
                <w:color w:val="000000" w:themeColor="text1"/>
                <w:sz w:val="24"/>
                <w:szCs w:val="24"/>
              </w:rPr>
              <w:t xml:space="preserve">, </w:t>
            </w:r>
            <w:r w:rsidR="3D4FE109" w:rsidRPr="2C21D1C7">
              <w:rPr>
                <w:rFonts w:ascii="Times New Roman" w:eastAsia="Times New Roman" w:hAnsi="Times New Roman" w:cs="Times New Roman"/>
                <w:color w:val="000000" w:themeColor="text1"/>
                <w:sz w:val="24"/>
                <w:szCs w:val="24"/>
              </w:rPr>
              <w:t>3</w:t>
            </w:r>
            <w:r w:rsidRPr="2C21D1C7">
              <w:rPr>
                <w:rFonts w:ascii="Times New Roman" w:eastAsia="Times New Roman" w:hAnsi="Times New Roman" w:cs="Times New Roman"/>
                <w:color w:val="000000" w:themeColor="text1"/>
                <w:sz w:val="24"/>
                <w:szCs w:val="24"/>
              </w:rPr>
              <w:t xml:space="preserve"> à </w:t>
            </w:r>
            <w:proofErr w:type="spellStart"/>
            <w:r w:rsidRPr="2C21D1C7">
              <w:rPr>
                <w:rFonts w:ascii="Times New Roman" w:eastAsia="Times New Roman" w:hAnsi="Times New Roman" w:cs="Times New Roman"/>
                <w:color w:val="000000" w:themeColor="text1"/>
                <w:sz w:val="24"/>
                <w:szCs w:val="24"/>
              </w:rPr>
              <w:t>Capotille</w:t>
            </w:r>
            <w:proofErr w:type="spellEnd"/>
            <w:r w:rsidRPr="2C21D1C7">
              <w:rPr>
                <w:rFonts w:ascii="Times New Roman" w:eastAsia="Times New Roman" w:hAnsi="Times New Roman" w:cs="Times New Roman"/>
                <w:color w:val="000000" w:themeColor="text1"/>
                <w:sz w:val="24"/>
                <w:szCs w:val="24"/>
              </w:rPr>
              <w:t xml:space="preserve"> </w:t>
            </w:r>
          </w:p>
        </w:tc>
      </w:tr>
      <w:tr w:rsidR="010CBDA3" w14:paraId="70654912" w14:textId="77777777" w:rsidTr="2C21D1C7">
        <w:tc>
          <w:tcPr>
            <w:tcW w:w="3022" w:type="dxa"/>
            <w:tcBorders>
              <w:top w:val="single" w:sz="8" w:space="0" w:color="auto"/>
              <w:left w:val="single" w:sz="8" w:space="0" w:color="auto"/>
              <w:bottom w:val="single" w:sz="8" w:space="0" w:color="auto"/>
              <w:right w:val="single" w:sz="8" w:space="0" w:color="auto"/>
            </w:tcBorders>
          </w:tcPr>
          <w:p w14:paraId="30DED217" w14:textId="1DA43F0D" w:rsidR="010CBDA3" w:rsidRDefault="010CBDA3">
            <w:r w:rsidRPr="010CBDA3">
              <w:rPr>
                <w:rFonts w:ascii="Times New Roman" w:eastAsia="Times New Roman" w:hAnsi="Times New Roman" w:cs="Times New Roman"/>
                <w:color w:val="000000" w:themeColor="text1"/>
                <w:sz w:val="24"/>
                <w:szCs w:val="24"/>
                <w:lang w:val="en-GB"/>
              </w:rPr>
              <w:t xml:space="preserve">Leaders </w:t>
            </w:r>
            <w:proofErr w:type="spellStart"/>
            <w:r w:rsidRPr="010CBDA3">
              <w:rPr>
                <w:rFonts w:ascii="Times New Roman" w:eastAsia="Times New Roman" w:hAnsi="Times New Roman" w:cs="Times New Roman"/>
                <w:color w:val="000000" w:themeColor="text1"/>
                <w:sz w:val="24"/>
                <w:szCs w:val="24"/>
                <w:lang w:val="en-GB"/>
              </w:rPr>
              <w:t>communautaires</w:t>
            </w:r>
            <w:proofErr w:type="spellEnd"/>
            <w:r w:rsidRPr="010CBDA3">
              <w:rPr>
                <w:rFonts w:ascii="Times New Roman" w:eastAsia="Times New Roman" w:hAnsi="Times New Roman" w:cs="Times New Roman"/>
                <w:color w:val="000000" w:themeColor="text1"/>
                <w:sz w:val="24"/>
                <w:szCs w:val="24"/>
                <w:lang w:val="en-GB"/>
              </w:rPr>
              <w:t xml:space="preserve"> </w:t>
            </w:r>
          </w:p>
        </w:tc>
        <w:tc>
          <w:tcPr>
            <w:tcW w:w="2215" w:type="dxa"/>
            <w:tcBorders>
              <w:top w:val="single" w:sz="8" w:space="0" w:color="auto"/>
              <w:left w:val="single" w:sz="8" w:space="0" w:color="auto"/>
              <w:bottom w:val="single" w:sz="8" w:space="0" w:color="auto"/>
              <w:right w:val="single" w:sz="8" w:space="0" w:color="auto"/>
            </w:tcBorders>
          </w:tcPr>
          <w:p w14:paraId="1DE72CE1" w14:textId="1DD10E82" w:rsidR="010CBDA3" w:rsidRDefault="010CBDA3">
            <w:r w:rsidRPr="010CBDA3">
              <w:rPr>
                <w:rFonts w:ascii="Times New Roman" w:eastAsia="Times New Roman" w:hAnsi="Times New Roman" w:cs="Times New Roman"/>
                <w:color w:val="000000" w:themeColor="text1"/>
                <w:sz w:val="24"/>
                <w:szCs w:val="24"/>
                <w:lang w:val="en-GB"/>
              </w:rPr>
              <w:t xml:space="preserve">Focus </w:t>
            </w:r>
            <w:proofErr w:type="spellStart"/>
            <w:r w:rsidRPr="010CBDA3">
              <w:rPr>
                <w:rFonts w:ascii="Times New Roman" w:eastAsia="Times New Roman" w:hAnsi="Times New Roman" w:cs="Times New Roman"/>
                <w:color w:val="000000" w:themeColor="text1"/>
                <w:sz w:val="24"/>
                <w:szCs w:val="24"/>
                <w:lang w:val="en-GB"/>
              </w:rPr>
              <w:t>groupes</w:t>
            </w:r>
            <w:proofErr w:type="spellEnd"/>
            <w:r w:rsidRPr="010CBDA3">
              <w:rPr>
                <w:rFonts w:ascii="Times New Roman" w:eastAsia="Times New Roman" w:hAnsi="Times New Roman" w:cs="Times New Roman"/>
                <w:color w:val="000000" w:themeColor="text1"/>
                <w:sz w:val="24"/>
                <w:szCs w:val="24"/>
                <w:lang w:val="en-GB"/>
              </w:rPr>
              <w:t xml:space="preserve"> </w:t>
            </w:r>
          </w:p>
        </w:tc>
        <w:tc>
          <w:tcPr>
            <w:tcW w:w="1672" w:type="dxa"/>
            <w:tcBorders>
              <w:top w:val="single" w:sz="8" w:space="0" w:color="auto"/>
              <w:left w:val="single" w:sz="8" w:space="0" w:color="auto"/>
              <w:bottom w:val="single" w:sz="8" w:space="0" w:color="auto"/>
              <w:right w:val="single" w:sz="8" w:space="0" w:color="auto"/>
            </w:tcBorders>
          </w:tcPr>
          <w:p w14:paraId="7984D0F4" w14:textId="1059B499" w:rsidR="010CBDA3" w:rsidRDefault="010CBDA3" w:rsidP="00631298">
            <w:pPr>
              <w:jc w:val="center"/>
              <w:rPr>
                <w:rFonts w:ascii="Times New Roman" w:eastAsia="Times New Roman" w:hAnsi="Times New Roman" w:cs="Times New Roman"/>
                <w:color w:val="000000" w:themeColor="text1"/>
                <w:sz w:val="24"/>
                <w:szCs w:val="24"/>
                <w:lang w:val="en-GB"/>
              </w:rPr>
            </w:pPr>
            <w:r w:rsidRPr="010CBDA3">
              <w:rPr>
                <w:rFonts w:ascii="Times New Roman" w:eastAsia="Times New Roman" w:hAnsi="Times New Roman" w:cs="Times New Roman"/>
                <w:color w:val="000000" w:themeColor="text1"/>
                <w:sz w:val="24"/>
                <w:szCs w:val="24"/>
                <w:lang w:val="en-GB"/>
              </w:rPr>
              <w:t>12</w:t>
            </w:r>
          </w:p>
        </w:tc>
        <w:tc>
          <w:tcPr>
            <w:tcW w:w="2450" w:type="dxa"/>
            <w:tcBorders>
              <w:top w:val="single" w:sz="8" w:space="0" w:color="auto"/>
              <w:left w:val="single" w:sz="8" w:space="0" w:color="auto"/>
              <w:bottom w:val="single" w:sz="8" w:space="0" w:color="auto"/>
              <w:right w:val="single" w:sz="8" w:space="0" w:color="auto"/>
            </w:tcBorders>
          </w:tcPr>
          <w:p w14:paraId="002492D8" w14:textId="16851CAB" w:rsidR="010CBDA3" w:rsidRDefault="010CBDA3">
            <w:r w:rsidRPr="010CBDA3">
              <w:rPr>
                <w:rFonts w:ascii="Times New Roman" w:eastAsia="Times New Roman" w:hAnsi="Times New Roman" w:cs="Times New Roman"/>
                <w:color w:val="000000" w:themeColor="text1"/>
                <w:sz w:val="24"/>
                <w:szCs w:val="24"/>
              </w:rPr>
              <w:t>Directeur/</w:t>
            </w:r>
            <w:proofErr w:type="spellStart"/>
            <w:r w:rsidRPr="010CBDA3">
              <w:rPr>
                <w:rFonts w:ascii="Times New Roman" w:eastAsia="Times New Roman" w:hAnsi="Times New Roman" w:cs="Times New Roman"/>
                <w:color w:val="000000" w:themeColor="text1"/>
                <w:sz w:val="24"/>
                <w:szCs w:val="24"/>
              </w:rPr>
              <w:t>rice</w:t>
            </w:r>
            <w:proofErr w:type="spellEnd"/>
            <w:r w:rsidRPr="010CBDA3">
              <w:rPr>
                <w:rFonts w:ascii="Times New Roman" w:eastAsia="Times New Roman" w:hAnsi="Times New Roman" w:cs="Times New Roman"/>
                <w:color w:val="000000" w:themeColor="text1"/>
                <w:sz w:val="24"/>
                <w:szCs w:val="24"/>
              </w:rPr>
              <w:t xml:space="preserve"> d’école, </w:t>
            </w:r>
            <w:proofErr w:type="spellStart"/>
            <w:r w:rsidRPr="010CBDA3">
              <w:rPr>
                <w:rFonts w:ascii="Times New Roman" w:eastAsia="Times New Roman" w:hAnsi="Times New Roman" w:cs="Times New Roman"/>
                <w:color w:val="000000" w:themeColor="text1"/>
                <w:sz w:val="24"/>
                <w:szCs w:val="24"/>
              </w:rPr>
              <w:t>Hougan</w:t>
            </w:r>
            <w:proofErr w:type="spellEnd"/>
            <w:r w:rsidRPr="010CBDA3">
              <w:rPr>
                <w:rFonts w:ascii="Times New Roman" w:eastAsia="Times New Roman" w:hAnsi="Times New Roman" w:cs="Times New Roman"/>
                <w:color w:val="000000" w:themeColor="text1"/>
                <w:sz w:val="24"/>
                <w:szCs w:val="24"/>
              </w:rPr>
              <w:t xml:space="preserve">, CASEC/Maire Pasteur/Prêtre, ASCP </w:t>
            </w:r>
            <w:proofErr w:type="spellStart"/>
            <w:r w:rsidR="00F14639">
              <w:rPr>
                <w:rFonts w:ascii="Times New Roman" w:eastAsia="Times New Roman" w:hAnsi="Times New Roman" w:cs="Times New Roman"/>
                <w:color w:val="000000" w:themeColor="text1"/>
                <w:sz w:val="24"/>
                <w:szCs w:val="24"/>
              </w:rPr>
              <w:t>etc</w:t>
            </w:r>
            <w:proofErr w:type="spellEnd"/>
          </w:p>
        </w:tc>
      </w:tr>
      <w:tr w:rsidR="010CBDA3" w14:paraId="51C4AE08" w14:textId="77777777" w:rsidTr="2C21D1C7">
        <w:tc>
          <w:tcPr>
            <w:tcW w:w="3022" w:type="dxa"/>
            <w:tcBorders>
              <w:top w:val="single" w:sz="8" w:space="0" w:color="auto"/>
              <w:left w:val="single" w:sz="8" w:space="0" w:color="auto"/>
              <w:bottom w:val="single" w:sz="8" w:space="0" w:color="auto"/>
              <w:right w:val="single" w:sz="8" w:space="0" w:color="auto"/>
            </w:tcBorders>
          </w:tcPr>
          <w:p w14:paraId="15213D26" w14:textId="11A9B153" w:rsidR="010CBDA3" w:rsidRDefault="010CBDA3">
            <w:r w:rsidRPr="010CBDA3">
              <w:rPr>
                <w:rFonts w:ascii="Times New Roman" w:eastAsia="Times New Roman" w:hAnsi="Times New Roman" w:cs="Times New Roman"/>
                <w:color w:val="000000" w:themeColor="text1"/>
                <w:sz w:val="24"/>
                <w:szCs w:val="24"/>
                <w:lang w:val="en-GB"/>
              </w:rPr>
              <w:t>Survivantes</w:t>
            </w:r>
          </w:p>
        </w:tc>
        <w:tc>
          <w:tcPr>
            <w:tcW w:w="2215" w:type="dxa"/>
            <w:tcBorders>
              <w:top w:val="single" w:sz="8" w:space="0" w:color="auto"/>
              <w:left w:val="single" w:sz="8" w:space="0" w:color="auto"/>
              <w:bottom w:val="single" w:sz="8" w:space="0" w:color="auto"/>
              <w:right w:val="single" w:sz="8" w:space="0" w:color="auto"/>
            </w:tcBorders>
          </w:tcPr>
          <w:p w14:paraId="34544B23" w14:textId="4F97CECB" w:rsidR="010CBDA3" w:rsidRDefault="010CBDA3">
            <w:proofErr w:type="spellStart"/>
            <w:r w:rsidRPr="010CBDA3">
              <w:rPr>
                <w:rFonts w:ascii="Times New Roman" w:eastAsia="Times New Roman" w:hAnsi="Times New Roman" w:cs="Times New Roman"/>
                <w:color w:val="000000" w:themeColor="text1"/>
                <w:sz w:val="24"/>
                <w:szCs w:val="24"/>
                <w:lang w:val="en-GB"/>
              </w:rPr>
              <w:t>Entretien</w:t>
            </w:r>
            <w:proofErr w:type="spellEnd"/>
            <w:r w:rsidRPr="010CBDA3">
              <w:rPr>
                <w:rFonts w:ascii="Times New Roman" w:eastAsia="Times New Roman" w:hAnsi="Times New Roman" w:cs="Times New Roman"/>
                <w:color w:val="000000" w:themeColor="text1"/>
                <w:sz w:val="24"/>
                <w:szCs w:val="24"/>
                <w:lang w:val="en-GB"/>
              </w:rPr>
              <w:t xml:space="preserve"> </w:t>
            </w:r>
            <w:proofErr w:type="spellStart"/>
            <w:r w:rsidRPr="010CBDA3">
              <w:rPr>
                <w:rFonts w:ascii="Times New Roman" w:eastAsia="Times New Roman" w:hAnsi="Times New Roman" w:cs="Times New Roman"/>
                <w:color w:val="000000" w:themeColor="text1"/>
                <w:sz w:val="24"/>
                <w:szCs w:val="24"/>
                <w:lang w:val="en-GB"/>
              </w:rPr>
              <w:t>individuel</w:t>
            </w:r>
            <w:proofErr w:type="spellEnd"/>
          </w:p>
        </w:tc>
        <w:tc>
          <w:tcPr>
            <w:tcW w:w="1672" w:type="dxa"/>
            <w:tcBorders>
              <w:top w:val="single" w:sz="8" w:space="0" w:color="auto"/>
              <w:left w:val="single" w:sz="8" w:space="0" w:color="auto"/>
              <w:bottom w:val="single" w:sz="8" w:space="0" w:color="auto"/>
              <w:right w:val="single" w:sz="8" w:space="0" w:color="auto"/>
            </w:tcBorders>
          </w:tcPr>
          <w:p w14:paraId="24C4F5E0" w14:textId="730958BF" w:rsidR="010CBDA3" w:rsidRDefault="189A76E6" w:rsidP="00631298">
            <w:pPr>
              <w:jc w:val="center"/>
              <w:rPr>
                <w:rFonts w:ascii="Times New Roman" w:eastAsia="Times New Roman" w:hAnsi="Times New Roman" w:cs="Times New Roman"/>
                <w:color w:val="000000" w:themeColor="text1"/>
                <w:sz w:val="24"/>
                <w:szCs w:val="24"/>
                <w:lang w:val="en-GB"/>
              </w:rPr>
            </w:pPr>
            <w:r w:rsidRPr="2C21D1C7">
              <w:rPr>
                <w:rFonts w:ascii="Times New Roman" w:eastAsia="Times New Roman" w:hAnsi="Times New Roman" w:cs="Times New Roman"/>
                <w:color w:val="000000" w:themeColor="text1"/>
                <w:sz w:val="24"/>
                <w:szCs w:val="24"/>
                <w:lang w:val="en-GB"/>
              </w:rPr>
              <w:t>30</w:t>
            </w:r>
          </w:p>
        </w:tc>
        <w:tc>
          <w:tcPr>
            <w:tcW w:w="2450" w:type="dxa"/>
            <w:tcBorders>
              <w:top w:val="single" w:sz="8" w:space="0" w:color="auto"/>
              <w:left w:val="single" w:sz="8" w:space="0" w:color="auto"/>
              <w:bottom w:val="single" w:sz="8" w:space="0" w:color="auto"/>
              <w:right w:val="single" w:sz="8" w:space="0" w:color="auto"/>
            </w:tcBorders>
          </w:tcPr>
          <w:p w14:paraId="0B2C2D9D" w14:textId="32335B72" w:rsidR="010CBDA3" w:rsidRDefault="010CBDA3" w:rsidP="2C21D1C7">
            <w:pPr>
              <w:rPr>
                <w:rFonts w:ascii="Times New Roman" w:eastAsia="Times New Roman" w:hAnsi="Times New Roman" w:cs="Times New Roman"/>
                <w:color w:val="000000" w:themeColor="text1"/>
                <w:sz w:val="24"/>
                <w:szCs w:val="24"/>
              </w:rPr>
            </w:pPr>
            <w:r w:rsidRPr="2C21D1C7">
              <w:rPr>
                <w:rFonts w:ascii="Times New Roman" w:eastAsia="Times New Roman" w:hAnsi="Times New Roman" w:cs="Times New Roman"/>
                <w:color w:val="000000" w:themeColor="text1"/>
                <w:sz w:val="24"/>
                <w:szCs w:val="24"/>
              </w:rPr>
              <w:t xml:space="preserve">3 à Ferrier, 6 à </w:t>
            </w:r>
            <w:proofErr w:type="spellStart"/>
            <w:r w:rsidRPr="2C21D1C7">
              <w:rPr>
                <w:rFonts w:ascii="Times New Roman" w:eastAsia="Times New Roman" w:hAnsi="Times New Roman" w:cs="Times New Roman"/>
                <w:color w:val="000000" w:themeColor="text1"/>
                <w:sz w:val="24"/>
                <w:szCs w:val="24"/>
              </w:rPr>
              <w:t>Ouanaminthe</w:t>
            </w:r>
            <w:proofErr w:type="spellEnd"/>
            <w:r w:rsidRPr="2C21D1C7">
              <w:rPr>
                <w:rFonts w:ascii="Times New Roman" w:eastAsia="Times New Roman" w:hAnsi="Times New Roman" w:cs="Times New Roman"/>
                <w:color w:val="000000" w:themeColor="text1"/>
                <w:sz w:val="24"/>
                <w:szCs w:val="24"/>
              </w:rPr>
              <w:t xml:space="preserve">, </w:t>
            </w:r>
            <w:r w:rsidR="59CC8FFE" w:rsidRPr="2C21D1C7">
              <w:rPr>
                <w:rFonts w:ascii="Times New Roman" w:eastAsia="Times New Roman" w:hAnsi="Times New Roman" w:cs="Times New Roman"/>
                <w:color w:val="000000" w:themeColor="text1"/>
                <w:sz w:val="24"/>
                <w:szCs w:val="24"/>
              </w:rPr>
              <w:t>3</w:t>
            </w:r>
            <w:r w:rsidRPr="2C21D1C7">
              <w:rPr>
                <w:rFonts w:ascii="Times New Roman" w:eastAsia="Times New Roman" w:hAnsi="Times New Roman" w:cs="Times New Roman"/>
                <w:color w:val="000000" w:themeColor="text1"/>
                <w:sz w:val="24"/>
                <w:szCs w:val="24"/>
              </w:rPr>
              <w:t xml:space="preserve"> à </w:t>
            </w:r>
            <w:proofErr w:type="spellStart"/>
            <w:r w:rsidRPr="2C21D1C7">
              <w:rPr>
                <w:rFonts w:ascii="Times New Roman" w:eastAsia="Times New Roman" w:hAnsi="Times New Roman" w:cs="Times New Roman"/>
                <w:color w:val="000000" w:themeColor="text1"/>
                <w:sz w:val="24"/>
                <w:szCs w:val="24"/>
              </w:rPr>
              <w:t>Capotille</w:t>
            </w:r>
            <w:proofErr w:type="spellEnd"/>
          </w:p>
        </w:tc>
      </w:tr>
    </w:tbl>
    <w:p w14:paraId="0EE942BB" w14:textId="5E120060" w:rsidR="00C22F9C" w:rsidRDefault="00C22F9C" w:rsidP="010CBDA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25B1C9E4" w14:textId="77777777" w:rsidR="00C22F9C" w:rsidRDefault="00A8240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Le/la consultant (e) peut utiliser une combinaison de méthode qualitative et quantitative pour l’analyse des données. </w:t>
      </w:r>
    </w:p>
    <w:p w14:paraId="309AEE05" w14:textId="77777777" w:rsidR="00C22F9C" w:rsidRDefault="00C22F9C">
      <w:pPr>
        <w:spacing w:line="360" w:lineRule="auto"/>
        <w:jc w:val="both"/>
        <w:rPr>
          <w:rFonts w:ascii="Times New Roman" w:eastAsia="Times New Roman" w:hAnsi="Times New Roman" w:cs="Times New Roman"/>
          <w:sz w:val="24"/>
          <w:szCs w:val="24"/>
        </w:rPr>
      </w:pPr>
    </w:p>
    <w:p w14:paraId="7769A58E" w14:textId="77777777" w:rsidR="00144CB1" w:rsidRPr="00144CB1" w:rsidRDefault="00144CB1" w:rsidP="00144CB1">
      <w:pPr>
        <w:pBdr>
          <w:top w:val="nil"/>
          <w:left w:val="nil"/>
          <w:bottom w:val="nil"/>
          <w:right w:val="nil"/>
          <w:between w:val="nil"/>
        </w:pBdr>
        <w:spacing w:line="360" w:lineRule="auto"/>
        <w:ind w:left="720"/>
        <w:jc w:val="both"/>
        <w:rPr>
          <w:b/>
          <w:color w:val="000000"/>
          <w:sz w:val="24"/>
          <w:szCs w:val="24"/>
        </w:rPr>
      </w:pPr>
    </w:p>
    <w:p w14:paraId="2B01357E" w14:textId="77777777" w:rsidR="00144CB1" w:rsidRPr="00144CB1" w:rsidRDefault="00144CB1" w:rsidP="00144CB1">
      <w:pPr>
        <w:pBdr>
          <w:top w:val="nil"/>
          <w:left w:val="nil"/>
          <w:bottom w:val="nil"/>
          <w:right w:val="nil"/>
          <w:between w:val="nil"/>
        </w:pBdr>
        <w:spacing w:line="360" w:lineRule="auto"/>
        <w:ind w:left="720"/>
        <w:jc w:val="both"/>
        <w:rPr>
          <w:b/>
          <w:color w:val="000000"/>
          <w:sz w:val="24"/>
          <w:szCs w:val="24"/>
        </w:rPr>
      </w:pPr>
    </w:p>
    <w:p w14:paraId="42AA0684" w14:textId="77777777" w:rsidR="00C22F9C" w:rsidRDefault="00A8240B" w:rsidP="00DB3F7D">
      <w:pPr>
        <w:numPr>
          <w:ilvl w:val="0"/>
          <w:numId w:val="18"/>
        </w:numPr>
        <w:pBdr>
          <w:top w:val="nil"/>
          <w:left w:val="nil"/>
          <w:bottom w:val="nil"/>
          <w:right w:val="nil"/>
          <w:between w:val="nil"/>
        </w:pBdr>
        <w:spacing w:line="360" w:lineRule="auto"/>
        <w:jc w:val="both"/>
        <w:rPr>
          <w:b/>
          <w:color w:val="000000"/>
          <w:sz w:val="24"/>
          <w:szCs w:val="24"/>
        </w:rPr>
      </w:pPr>
      <w:r>
        <w:rPr>
          <w:rFonts w:ascii="Times New Roman" w:eastAsia="Times New Roman" w:hAnsi="Times New Roman" w:cs="Times New Roman"/>
          <w:b/>
          <w:color w:val="000000"/>
          <w:sz w:val="24"/>
          <w:szCs w:val="24"/>
        </w:rPr>
        <w:t>Produits attendus</w:t>
      </w:r>
    </w:p>
    <w:p w14:paraId="0FC8C17C" w14:textId="77777777" w:rsidR="00C22F9C" w:rsidRDefault="00A8240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Les principaux produits de cette étude sont les suivants :</w:t>
      </w:r>
    </w:p>
    <w:p w14:paraId="23B3691F" w14:textId="77777777" w:rsidR="00C22F9C" w:rsidRPr="00414498" w:rsidRDefault="00A8240B">
      <w:pPr>
        <w:numPr>
          <w:ilvl w:val="0"/>
          <w:numId w:val="13"/>
        </w:numPr>
        <w:pBdr>
          <w:top w:val="nil"/>
          <w:left w:val="nil"/>
          <w:bottom w:val="nil"/>
          <w:right w:val="nil"/>
          <w:between w:val="nil"/>
        </w:pBdr>
        <w:spacing w:after="0" w:line="360" w:lineRule="auto"/>
        <w:jc w:val="both"/>
        <w:rPr>
          <w:color w:val="000000"/>
          <w:sz w:val="24"/>
          <w:szCs w:val="24"/>
        </w:rPr>
      </w:pPr>
      <w:r w:rsidRPr="00414498">
        <w:rPr>
          <w:rFonts w:ascii="Times New Roman" w:eastAsia="Times New Roman" w:hAnsi="Times New Roman" w:cs="Times New Roman"/>
          <w:b/>
          <w:color w:val="000000"/>
          <w:sz w:val="24"/>
          <w:szCs w:val="24"/>
        </w:rPr>
        <w:t>Rapport initial :</w:t>
      </w:r>
      <w:r>
        <w:rPr>
          <w:rFonts w:ascii="Times New Roman" w:eastAsia="Times New Roman" w:hAnsi="Times New Roman" w:cs="Times New Roman"/>
          <w:color w:val="000000"/>
          <w:sz w:val="24"/>
          <w:szCs w:val="24"/>
        </w:rPr>
        <w:t xml:space="preserve"> Trois jours après la signature du contrat, le/la consultant (e) devra produire un document. Ce document devra présenter la compréhension du mandat, méthodologie à suivre, répartition des tâches entre les membres de son équipe (dans la mesure où une équipe l’accompagnera) et le chronogramme de l’intervention.  Il sera examiné par le AFASDA et PIH en vue des orientations pour la poursuite de l’étude ; </w:t>
      </w:r>
    </w:p>
    <w:p w14:paraId="3427EFB7" w14:textId="60B470ED" w:rsidR="00414498" w:rsidRDefault="00414498">
      <w:pPr>
        <w:numPr>
          <w:ilvl w:val="0"/>
          <w:numId w:val="13"/>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b/>
          <w:color w:val="000000"/>
          <w:sz w:val="24"/>
          <w:szCs w:val="24"/>
        </w:rPr>
        <w:t>Outils de collecte de données </w:t>
      </w:r>
      <w:r w:rsidRPr="00414498">
        <w:rPr>
          <w:rFonts w:ascii="Times New Roman" w:eastAsia="Times New Roman" w:hAnsi="Times New Roman" w:cs="Times New Roman"/>
          <w:b/>
          <w:color w:val="000000"/>
          <w:sz w:val="24"/>
          <w:szCs w:val="24"/>
        </w:rPr>
        <w:t>:</w:t>
      </w:r>
      <w:r w:rsidRPr="00414498">
        <w:rPr>
          <w:rFonts w:ascii="Times New Roman" w:hAnsi="Times New Roman" w:cs="Times New Roman"/>
          <w:color w:val="000000"/>
          <w:sz w:val="24"/>
          <w:szCs w:val="24"/>
        </w:rPr>
        <w:t xml:space="preserve"> </w:t>
      </w:r>
      <w:r>
        <w:rPr>
          <w:rFonts w:ascii="Times New Roman" w:hAnsi="Times New Roman" w:cs="Times New Roman"/>
          <w:color w:val="000000"/>
          <w:sz w:val="24"/>
          <w:szCs w:val="24"/>
        </w:rPr>
        <w:t>Une fois le rapport initial validé, le consultant se penchera sur</w:t>
      </w:r>
      <w:r w:rsidRPr="00414498">
        <w:rPr>
          <w:rFonts w:ascii="Times New Roman" w:hAnsi="Times New Roman" w:cs="Times New Roman"/>
          <w:color w:val="000000"/>
          <w:sz w:val="24"/>
          <w:szCs w:val="24"/>
        </w:rPr>
        <w:t xml:space="preserve"> la conception des outils de collecte qui seront utilisés et la validation de ces outils du côté de l’équipe du projet.</w:t>
      </w:r>
      <w:r>
        <w:rPr>
          <w:rFonts w:ascii="Times New Roman" w:hAnsi="Times New Roman" w:cs="Times New Roman"/>
          <w:color w:val="000000"/>
          <w:sz w:val="24"/>
          <w:szCs w:val="24"/>
        </w:rPr>
        <w:t xml:space="preserve"> Cette activité pourra</w:t>
      </w:r>
      <w:r w:rsidR="00B23772">
        <w:rPr>
          <w:rFonts w:ascii="Times New Roman" w:hAnsi="Times New Roman" w:cs="Times New Roman"/>
          <w:color w:val="000000"/>
          <w:sz w:val="24"/>
          <w:szCs w:val="24"/>
        </w:rPr>
        <w:t>it durer</w:t>
      </w:r>
      <w:r>
        <w:rPr>
          <w:rFonts w:ascii="Times New Roman" w:hAnsi="Times New Roman" w:cs="Times New Roman"/>
          <w:color w:val="000000"/>
          <w:sz w:val="24"/>
          <w:szCs w:val="24"/>
        </w:rPr>
        <w:t xml:space="preserve"> </w:t>
      </w:r>
      <w:r w:rsidR="00B23772">
        <w:rPr>
          <w:rFonts w:ascii="Times New Roman" w:hAnsi="Times New Roman" w:cs="Times New Roman"/>
          <w:color w:val="000000"/>
          <w:sz w:val="24"/>
          <w:szCs w:val="24"/>
        </w:rPr>
        <w:t>quatre jours.</w:t>
      </w:r>
    </w:p>
    <w:p w14:paraId="34D49125" w14:textId="0548C74D" w:rsidR="00C22F9C" w:rsidRDefault="00A8240B">
      <w:pPr>
        <w:numPr>
          <w:ilvl w:val="0"/>
          <w:numId w:val="13"/>
        </w:numPr>
        <w:pBdr>
          <w:top w:val="nil"/>
          <w:left w:val="nil"/>
          <w:bottom w:val="nil"/>
          <w:right w:val="nil"/>
          <w:between w:val="nil"/>
        </w:pBdr>
        <w:spacing w:after="0" w:line="360" w:lineRule="auto"/>
        <w:jc w:val="both"/>
        <w:rPr>
          <w:color w:val="000000"/>
          <w:sz w:val="24"/>
          <w:szCs w:val="24"/>
        </w:rPr>
      </w:pPr>
      <w:r w:rsidRPr="00414498">
        <w:rPr>
          <w:rFonts w:ascii="Times New Roman" w:eastAsia="Times New Roman" w:hAnsi="Times New Roman" w:cs="Times New Roman"/>
          <w:b/>
          <w:color w:val="000000"/>
          <w:sz w:val="24"/>
          <w:szCs w:val="24"/>
        </w:rPr>
        <w:t>Rapport sur le déroule</w:t>
      </w:r>
      <w:r w:rsidR="00414498" w:rsidRPr="00414498">
        <w:rPr>
          <w:rFonts w:ascii="Times New Roman" w:eastAsia="Times New Roman" w:hAnsi="Times New Roman" w:cs="Times New Roman"/>
          <w:b/>
          <w:color w:val="000000"/>
          <w:sz w:val="24"/>
          <w:szCs w:val="24"/>
        </w:rPr>
        <w:t xml:space="preserve">ment des activités de collecte </w:t>
      </w:r>
      <w:r w:rsidRPr="00414498">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Trois semaines après le début de l’étude, le/la consultant/e soumettra un rapport d’avancement des activités (</w:t>
      </w:r>
      <w:r w:rsidR="00B23772">
        <w:rPr>
          <w:rFonts w:ascii="Times New Roman" w:eastAsia="Times New Roman" w:hAnsi="Times New Roman" w:cs="Times New Roman"/>
          <w:color w:val="000000"/>
          <w:sz w:val="24"/>
          <w:szCs w:val="24"/>
        </w:rPr>
        <w:t>Collecte de données</w:t>
      </w:r>
      <w:r>
        <w:rPr>
          <w:rFonts w:ascii="Times New Roman" w:eastAsia="Times New Roman" w:hAnsi="Times New Roman" w:cs="Times New Roman"/>
          <w:color w:val="000000"/>
          <w:sz w:val="24"/>
          <w:szCs w:val="24"/>
        </w:rPr>
        <w:t>). Ce rapport sera partagé aux différentes parties prenantes du projet.</w:t>
      </w:r>
    </w:p>
    <w:p w14:paraId="7E02FAF4" w14:textId="4B969D7A" w:rsidR="00454ADC" w:rsidRPr="00454ADC" w:rsidRDefault="00A8240B" w:rsidP="00454ADC">
      <w:pPr>
        <w:pStyle w:val="ListParagraph"/>
        <w:numPr>
          <w:ilvl w:val="0"/>
          <w:numId w:val="13"/>
        </w:numPr>
        <w:pBdr>
          <w:top w:val="nil"/>
          <w:left w:val="nil"/>
          <w:bottom w:val="nil"/>
          <w:right w:val="nil"/>
          <w:between w:val="nil"/>
        </w:pBdr>
        <w:spacing w:after="0" w:line="360" w:lineRule="auto"/>
        <w:jc w:val="both"/>
        <w:rPr>
          <w:b/>
          <w:color w:val="000000"/>
          <w:sz w:val="24"/>
          <w:szCs w:val="24"/>
        </w:rPr>
      </w:pPr>
      <w:r w:rsidRPr="00454ADC">
        <w:rPr>
          <w:rFonts w:ascii="Times New Roman" w:eastAsia="Times New Roman" w:hAnsi="Times New Roman" w:cs="Times New Roman"/>
          <w:b/>
          <w:color w:val="000000"/>
          <w:sz w:val="24"/>
          <w:szCs w:val="24"/>
        </w:rPr>
        <w:t>Rapport des résultats préliminaires :</w:t>
      </w:r>
      <w:r w:rsidR="00C10B29" w:rsidRPr="00454ADC">
        <w:rPr>
          <w:rFonts w:ascii="Times New Roman" w:eastAsia="Times New Roman" w:hAnsi="Times New Roman" w:cs="Times New Roman"/>
          <w:color w:val="000000"/>
          <w:sz w:val="24"/>
          <w:szCs w:val="24"/>
        </w:rPr>
        <w:t xml:space="preserve"> </w:t>
      </w:r>
      <w:r w:rsidR="00454ADC">
        <w:rPr>
          <w:rFonts w:ascii="Times New Roman" w:eastAsia="Times New Roman" w:hAnsi="Times New Roman" w:cs="Times New Roman"/>
          <w:color w:val="000000"/>
          <w:sz w:val="24"/>
          <w:szCs w:val="24"/>
        </w:rPr>
        <w:t>U</w:t>
      </w:r>
      <w:r w:rsidR="00454ADC" w:rsidRPr="00454ADC">
        <w:rPr>
          <w:rFonts w:ascii="Times New Roman" w:eastAsia="Times New Roman" w:hAnsi="Times New Roman" w:cs="Times New Roman"/>
          <w:color w:val="000000"/>
          <w:sz w:val="24"/>
          <w:szCs w:val="24"/>
        </w:rPr>
        <w:t xml:space="preserve">ne présentation des résultats aux principales parties prenantes oralement et écrit sera faite. L’objectif de cette section est de fournir une opportunité pour la validation initiale et élaboration des observations et analyse du/de la </w:t>
      </w:r>
      <w:r w:rsidR="00454ADC">
        <w:rPr>
          <w:rFonts w:ascii="Times New Roman" w:eastAsia="Times New Roman" w:hAnsi="Times New Roman" w:cs="Times New Roman"/>
          <w:color w:val="000000"/>
          <w:sz w:val="24"/>
          <w:szCs w:val="24"/>
        </w:rPr>
        <w:t>consultant (e).</w:t>
      </w:r>
    </w:p>
    <w:p w14:paraId="635504D2" w14:textId="5362714E" w:rsidR="00454ADC" w:rsidRPr="00454ADC" w:rsidRDefault="00454ADC" w:rsidP="00454ADC">
      <w:pPr>
        <w:pStyle w:val="ListParagraph"/>
        <w:numPr>
          <w:ilvl w:val="0"/>
          <w:numId w:val="13"/>
        </w:numPr>
        <w:pBdr>
          <w:top w:val="nil"/>
          <w:left w:val="nil"/>
          <w:bottom w:val="nil"/>
          <w:right w:val="nil"/>
          <w:between w:val="nil"/>
        </w:pBdr>
        <w:spacing w:after="0" w:line="360" w:lineRule="auto"/>
        <w:jc w:val="both"/>
        <w:rPr>
          <w:b/>
          <w:color w:val="000000"/>
          <w:sz w:val="24"/>
          <w:szCs w:val="24"/>
        </w:rPr>
      </w:pPr>
      <w:r w:rsidRPr="00454ADC">
        <w:rPr>
          <w:rFonts w:ascii="Times New Roman" w:eastAsia="Times New Roman" w:hAnsi="Times New Roman" w:cs="Times New Roman"/>
          <w:b/>
          <w:color w:val="000000"/>
          <w:sz w:val="24"/>
          <w:szCs w:val="24"/>
        </w:rPr>
        <w:t>Ra</w:t>
      </w:r>
      <w:r w:rsidR="00A8240B" w:rsidRPr="00454ADC">
        <w:rPr>
          <w:rFonts w:ascii="Times New Roman" w:eastAsia="Times New Roman" w:hAnsi="Times New Roman" w:cs="Times New Roman"/>
          <w:b/>
          <w:color w:val="000000"/>
          <w:sz w:val="24"/>
          <w:szCs w:val="24"/>
        </w:rPr>
        <w:t>pport final/ document de l’étude :</w:t>
      </w:r>
      <w:r w:rsidR="00A8240B" w:rsidRPr="00454ADC">
        <w:rPr>
          <w:rFonts w:ascii="Times New Roman" w:eastAsia="Times New Roman" w:hAnsi="Times New Roman" w:cs="Times New Roman"/>
          <w:color w:val="000000"/>
          <w:sz w:val="24"/>
          <w:szCs w:val="24"/>
        </w:rPr>
        <w:t xml:space="preserve"> le/la consultant/e finalisera le rapport/ document de l’étude incluant un résumé en français ainsi que tous les documents annexés en tenant compte des commentaires et suggestions apportés par AFASDA, le PIH et les partenaires du projet le cas échéant.</w:t>
      </w:r>
      <w:r w:rsidR="00B23772" w:rsidRPr="00454ADC">
        <w:rPr>
          <w:rFonts w:ascii="Times New Roman" w:eastAsia="Times New Roman" w:hAnsi="Times New Roman" w:cs="Times New Roman"/>
          <w:color w:val="000000"/>
          <w:sz w:val="24"/>
          <w:szCs w:val="24"/>
        </w:rPr>
        <w:t xml:space="preserve"> </w:t>
      </w:r>
    </w:p>
    <w:p w14:paraId="358B7CCF" w14:textId="4FA6DC4E" w:rsidR="00C22F9C" w:rsidRPr="00454ADC" w:rsidRDefault="00A8240B" w:rsidP="00454ADC">
      <w:pPr>
        <w:numPr>
          <w:ilvl w:val="0"/>
          <w:numId w:val="21"/>
        </w:numPr>
        <w:pBdr>
          <w:top w:val="nil"/>
          <w:left w:val="nil"/>
          <w:bottom w:val="nil"/>
          <w:right w:val="nil"/>
          <w:between w:val="nil"/>
        </w:pBdr>
        <w:spacing w:after="0" w:line="360" w:lineRule="auto"/>
        <w:jc w:val="both"/>
        <w:rPr>
          <w:b/>
          <w:color w:val="000000"/>
          <w:sz w:val="24"/>
          <w:szCs w:val="24"/>
        </w:rPr>
      </w:pPr>
      <w:r w:rsidRPr="00454ADC">
        <w:rPr>
          <w:rFonts w:ascii="Times New Roman" w:eastAsia="Times New Roman" w:hAnsi="Times New Roman" w:cs="Times New Roman"/>
          <w:b/>
          <w:color w:val="000000"/>
          <w:sz w:val="24"/>
          <w:szCs w:val="24"/>
        </w:rPr>
        <w:t xml:space="preserve">Compétences requises pour la conduite de l’étude </w:t>
      </w:r>
    </w:p>
    <w:p w14:paraId="433FE592" w14:textId="77777777" w:rsidR="00C22F9C" w:rsidRDefault="00A8240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Un/e consultant/e sera recruté/e pour la conduite de l’étude</w:t>
      </w:r>
    </w:p>
    <w:p w14:paraId="0556D9C0" w14:textId="77777777" w:rsidR="00C22F9C" w:rsidRDefault="00A8240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 façon spécifique, la personne recrutée aura les compétences suivantes :</w:t>
      </w:r>
    </w:p>
    <w:p w14:paraId="6FEC47B4" w14:textId="77777777" w:rsidR="00C22F9C" w:rsidRDefault="00C22F9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5687C3FE" w14:textId="77777777" w:rsidR="00C22F9C" w:rsidRDefault="00A8240B">
      <w:pPr>
        <w:numPr>
          <w:ilvl w:val="0"/>
          <w:numId w:val="5"/>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Diplôme universitaire (au moins BAC+5), niveau de Master minimum, dans une discipline des sciences humaines et sociales, ou en disciplines assimilées ; </w:t>
      </w:r>
    </w:p>
    <w:p w14:paraId="686DF4D1" w14:textId="77777777" w:rsidR="00144CB1" w:rsidRPr="00144CB1" w:rsidRDefault="00144CB1" w:rsidP="00144CB1">
      <w:pPr>
        <w:pBdr>
          <w:top w:val="nil"/>
          <w:left w:val="nil"/>
          <w:bottom w:val="nil"/>
          <w:right w:val="nil"/>
          <w:between w:val="nil"/>
        </w:pBdr>
        <w:spacing w:after="0" w:line="360" w:lineRule="auto"/>
        <w:ind w:left="720"/>
        <w:jc w:val="both"/>
        <w:rPr>
          <w:color w:val="000000"/>
          <w:sz w:val="24"/>
          <w:szCs w:val="24"/>
        </w:rPr>
      </w:pPr>
    </w:p>
    <w:p w14:paraId="3176CE00" w14:textId="77777777" w:rsidR="00C22F9C" w:rsidRDefault="00A8240B">
      <w:pPr>
        <w:numPr>
          <w:ilvl w:val="0"/>
          <w:numId w:val="5"/>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Au moins 4 ou 6 ans d’expérience dans le domaine du genre et de la conduite des études y relatives ;</w:t>
      </w:r>
    </w:p>
    <w:p w14:paraId="35C9B0F7" w14:textId="77777777" w:rsidR="00C22F9C" w:rsidRDefault="00A8240B">
      <w:pPr>
        <w:numPr>
          <w:ilvl w:val="0"/>
          <w:numId w:val="5"/>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Expérience dans l’utilisation de méthodologie de collecte de données et de cartographie de services base sur la VSBG ;</w:t>
      </w:r>
    </w:p>
    <w:p w14:paraId="1596BAD7" w14:textId="77777777" w:rsidR="00C22F9C" w:rsidRDefault="00A8240B">
      <w:pPr>
        <w:numPr>
          <w:ilvl w:val="0"/>
          <w:numId w:val="5"/>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Maîtrise des techniques participatives et autres approches de collecte et d’analyse des données relatives au genre et autres domaines ;</w:t>
      </w:r>
    </w:p>
    <w:p w14:paraId="528A8C0B" w14:textId="77777777" w:rsidR="00C22F9C" w:rsidRDefault="00A8240B">
      <w:pPr>
        <w:numPr>
          <w:ilvl w:val="0"/>
          <w:numId w:val="5"/>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Excellente capacité de communication orale et écrite en française ; </w:t>
      </w:r>
      <w:bookmarkStart w:id="0" w:name="_GoBack"/>
      <w:bookmarkEnd w:id="0"/>
    </w:p>
    <w:p w14:paraId="282B55D8" w14:textId="77777777" w:rsidR="00C22F9C" w:rsidRDefault="00A8240B">
      <w:pPr>
        <w:numPr>
          <w:ilvl w:val="0"/>
          <w:numId w:val="5"/>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Excellent leadership et compétences managériales pour son équipe est un atout ;</w:t>
      </w:r>
    </w:p>
    <w:p w14:paraId="2188FCC3" w14:textId="77777777" w:rsidR="00C22F9C" w:rsidRDefault="00A8240B">
      <w:pPr>
        <w:numPr>
          <w:ilvl w:val="0"/>
          <w:numId w:val="5"/>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Disponible et apte à travailler dans des zones reculées ;</w:t>
      </w:r>
    </w:p>
    <w:p w14:paraId="1F558EA6" w14:textId="77777777" w:rsidR="00C22F9C" w:rsidRDefault="00A8240B">
      <w:pPr>
        <w:numPr>
          <w:ilvl w:val="0"/>
          <w:numId w:val="5"/>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Connaissance du contexte social haïtien lié à la réalité de la frontière </w:t>
      </w:r>
      <w:proofErr w:type="spellStart"/>
      <w:r>
        <w:rPr>
          <w:rFonts w:ascii="Times New Roman" w:eastAsia="Times New Roman" w:hAnsi="Times New Roman" w:cs="Times New Roman"/>
          <w:color w:val="000000"/>
          <w:sz w:val="24"/>
          <w:szCs w:val="24"/>
        </w:rPr>
        <w:t>haitiano</w:t>
      </w:r>
      <w:proofErr w:type="spellEnd"/>
      <w:r>
        <w:rPr>
          <w:rFonts w:ascii="Times New Roman" w:eastAsia="Times New Roman" w:hAnsi="Times New Roman" w:cs="Times New Roman"/>
          <w:color w:val="000000"/>
          <w:sz w:val="24"/>
          <w:szCs w:val="24"/>
        </w:rPr>
        <w:t>-dominicaine est un atout.</w:t>
      </w:r>
    </w:p>
    <w:p w14:paraId="412A14E4" w14:textId="77777777" w:rsidR="00C22F9C" w:rsidRDefault="00A8240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Le/la consultant/e est le/la responsable de l’étude. A ce titre, il/elle est tenu au respect du délai et de la production des résultats liés au mandat. Il/elle prépare les détails, coordonne la mission, en établit le calendrier et prépare le draft du rapport et le rapport final.</w:t>
      </w:r>
    </w:p>
    <w:p w14:paraId="0670399C" w14:textId="77777777" w:rsidR="00C22F9C" w:rsidRDefault="00A8240B" w:rsidP="00DB3F7D">
      <w:pPr>
        <w:numPr>
          <w:ilvl w:val="0"/>
          <w:numId w:val="18"/>
        </w:numPr>
        <w:pBdr>
          <w:top w:val="nil"/>
          <w:left w:val="nil"/>
          <w:bottom w:val="nil"/>
          <w:right w:val="nil"/>
          <w:between w:val="nil"/>
        </w:pBdr>
        <w:spacing w:after="0" w:line="360" w:lineRule="auto"/>
        <w:jc w:val="both"/>
        <w:rPr>
          <w:b/>
          <w:color w:val="000000"/>
          <w:sz w:val="24"/>
          <w:szCs w:val="24"/>
        </w:rPr>
      </w:pPr>
      <w:r>
        <w:rPr>
          <w:rFonts w:ascii="Times New Roman" w:eastAsia="Times New Roman" w:hAnsi="Times New Roman" w:cs="Times New Roman"/>
          <w:b/>
          <w:color w:val="000000"/>
          <w:sz w:val="24"/>
          <w:szCs w:val="24"/>
        </w:rPr>
        <w:t>Autres qualifications du/de la consultant/e</w:t>
      </w:r>
    </w:p>
    <w:p w14:paraId="1A5ED3CA" w14:textId="77777777" w:rsidR="00C22F9C" w:rsidRDefault="00A8240B">
      <w:pPr>
        <w:numPr>
          <w:ilvl w:val="0"/>
          <w:numId w:val="7"/>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Capacité de travail en équipe et de communication ;</w:t>
      </w:r>
    </w:p>
    <w:p w14:paraId="42EFB61D" w14:textId="77777777" w:rsidR="00C22F9C" w:rsidRDefault="00A8240B">
      <w:pPr>
        <w:numPr>
          <w:ilvl w:val="0"/>
          <w:numId w:val="7"/>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Faire preuve de réactivité, d’objectivité, d’organisation et avoir une bonne méthodologie dans l’exécution du travail d’étude sur la VSBG ;</w:t>
      </w:r>
    </w:p>
    <w:p w14:paraId="012A4630" w14:textId="77777777" w:rsidR="00C22F9C" w:rsidRDefault="00A8240B">
      <w:pPr>
        <w:numPr>
          <w:ilvl w:val="0"/>
          <w:numId w:val="7"/>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Une expérience avec les organisations féministes et les ONG internationales ainsi qu’une bonne connaissance de son mandat serait un atout.</w:t>
      </w:r>
    </w:p>
    <w:p w14:paraId="4DD35622" w14:textId="77777777" w:rsidR="00C22F9C" w:rsidRDefault="00A8240B" w:rsidP="00DB3F7D">
      <w:pPr>
        <w:numPr>
          <w:ilvl w:val="0"/>
          <w:numId w:val="18"/>
        </w:numPr>
        <w:pBdr>
          <w:top w:val="nil"/>
          <w:left w:val="nil"/>
          <w:bottom w:val="nil"/>
          <w:right w:val="nil"/>
          <w:between w:val="nil"/>
        </w:pBdr>
        <w:spacing w:line="360" w:lineRule="auto"/>
        <w:jc w:val="both"/>
        <w:rPr>
          <w:b/>
          <w:color w:val="000000"/>
          <w:sz w:val="24"/>
          <w:szCs w:val="24"/>
        </w:rPr>
      </w:pPr>
      <w:r>
        <w:rPr>
          <w:rFonts w:ascii="Times New Roman" w:eastAsia="Times New Roman" w:hAnsi="Times New Roman" w:cs="Times New Roman"/>
          <w:b/>
          <w:color w:val="000000"/>
          <w:sz w:val="24"/>
          <w:szCs w:val="24"/>
        </w:rPr>
        <w:t xml:space="preserve">Modalité d’exécution </w:t>
      </w:r>
    </w:p>
    <w:p w14:paraId="3F9C471F" w14:textId="77777777" w:rsidR="00C22F9C" w:rsidRDefault="00A8240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Le/la consultant/e reportera directement à la chargée de projet de l’AFASDA qui fournira les directives pour le développement du plan de travail et assurer le suivi de la qualité de satisfaction des produits de l’étude de concert avec l’équipe de l’AFASDA. </w:t>
      </w:r>
    </w:p>
    <w:p w14:paraId="69613D5C" w14:textId="77777777" w:rsidR="00C22F9C" w:rsidRDefault="00A8240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Les rôles et les principales responsabilités de l’ensemble des parties impliquées dans le processus de l’étude sont les suivants :</w:t>
      </w:r>
    </w:p>
    <w:p w14:paraId="527BEF1A" w14:textId="77777777" w:rsidR="00C22F9C" w:rsidRDefault="00C22F9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510C195B" w14:textId="77777777" w:rsidR="00144CB1" w:rsidRDefault="00144CB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5835A00F" w14:textId="77777777" w:rsidR="00144CB1" w:rsidRDefault="00144CB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1C4A3DC9" w14:textId="77777777" w:rsidR="00144CB1" w:rsidRDefault="00144CB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77909BDF" w14:textId="77777777" w:rsidR="00C22F9C" w:rsidRDefault="00A8240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b/>
          <w:color w:val="000000"/>
          <w:sz w:val="24"/>
          <w:szCs w:val="24"/>
        </w:rPr>
        <w:t xml:space="preserve">Commanditaires de l’étude </w:t>
      </w:r>
      <w:r>
        <w:rPr>
          <w:rFonts w:ascii="Times New Roman" w:eastAsia="Times New Roman" w:hAnsi="Times New Roman" w:cs="Times New Roman"/>
          <w:color w:val="000000"/>
          <w:sz w:val="24"/>
          <w:szCs w:val="24"/>
        </w:rPr>
        <w:t>: Cette étude est commanditée par AFASDA. A cet effet, elle devra :</w:t>
      </w:r>
    </w:p>
    <w:p w14:paraId="01B8BBA4" w14:textId="77777777" w:rsidR="00C22F9C" w:rsidRDefault="00A8240B">
      <w:pPr>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Fournir au début du processus des conseils clairs a la/au consultant/te ;</w:t>
      </w:r>
    </w:p>
    <w:p w14:paraId="27033F59" w14:textId="77777777" w:rsidR="00C22F9C" w:rsidRDefault="00A8240B">
      <w:pPr>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Allouer les fonds nécessaires ;</w:t>
      </w:r>
    </w:p>
    <w:p w14:paraId="42A1F8B9" w14:textId="77777777" w:rsidR="00C22F9C" w:rsidRDefault="00A8240B">
      <w:pPr>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Etre responsable et rendre compte de la qualité du processus et des produits.</w:t>
      </w:r>
    </w:p>
    <w:p w14:paraId="5ACFB54F" w14:textId="77777777" w:rsidR="00C22F9C" w:rsidRDefault="00C22F9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6D6B8B50" w14:textId="77777777" w:rsidR="00C22F9C" w:rsidRDefault="00A8240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b/>
          <w:color w:val="000000"/>
          <w:sz w:val="24"/>
          <w:szCs w:val="24"/>
        </w:rPr>
        <w:t>Co-gestionnaire de l’étude</w:t>
      </w:r>
      <w:r>
        <w:rPr>
          <w:rFonts w:ascii="Times New Roman" w:eastAsia="Times New Roman" w:hAnsi="Times New Roman" w:cs="Times New Roman"/>
          <w:color w:val="000000"/>
          <w:sz w:val="24"/>
          <w:szCs w:val="24"/>
        </w:rPr>
        <w:t xml:space="preserve"> : La chargée du projet devra : </w:t>
      </w:r>
    </w:p>
    <w:p w14:paraId="51CC6051" w14:textId="77777777" w:rsidR="00C22F9C" w:rsidRDefault="00A8240B">
      <w:pPr>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Gérer les dispositions contractuelles, le budget ;</w:t>
      </w:r>
    </w:p>
    <w:p w14:paraId="2897DEC4" w14:textId="77777777" w:rsidR="00C22F9C" w:rsidRDefault="00A8240B">
      <w:pPr>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Fournir un soutien en matière d’exécution et de coordination aux représentants des parties prenantes, fournir à la /au consultant/te un appui administratif ;</w:t>
      </w:r>
    </w:p>
    <w:p w14:paraId="6549C8C9" w14:textId="77777777" w:rsidR="00C22F9C" w:rsidRDefault="00A8240B">
      <w:pPr>
        <w:numPr>
          <w:ilvl w:val="0"/>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Examiner la méthodologie proposée et les rapports de l’étude afin d’assurer que le rapport final réponde aux normes de qualité.</w:t>
      </w:r>
    </w:p>
    <w:p w14:paraId="4859192B" w14:textId="77777777" w:rsidR="008018B2" w:rsidRDefault="008018B2" w:rsidP="008018B2">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p>
    <w:p w14:paraId="1D276CD3" w14:textId="77777777" w:rsidR="008018B2" w:rsidRDefault="008018B2" w:rsidP="008018B2">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4"/>
          <w:szCs w:val="24"/>
        </w:rPr>
      </w:pPr>
    </w:p>
    <w:p w14:paraId="5AA8C114" w14:textId="77777777" w:rsidR="00C22F9C" w:rsidRDefault="00A8240B" w:rsidP="00DB3F7D">
      <w:pPr>
        <w:numPr>
          <w:ilvl w:val="0"/>
          <w:numId w:val="18"/>
        </w:numPr>
        <w:pBdr>
          <w:top w:val="nil"/>
          <w:left w:val="nil"/>
          <w:bottom w:val="nil"/>
          <w:right w:val="nil"/>
          <w:between w:val="nil"/>
        </w:pBdr>
        <w:spacing w:after="0" w:line="360" w:lineRule="auto"/>
        <w:jc w:val="both"/>
        <w:rPr>
          <w:b/>
          <w:color w:val="000000"/>
          <w:sz w:val="24"/>
          <w:szCs w:val="24"/>
        </w:rPr>
      </w:pPr>
      <w:r>
        <w:rPr>
          <w:rFonts w:ascii="Times New Roman" w:eastAsia="Times New Roman" w:hAnsi="Times New Roman" w:cs="Times New Roman"/>
          <w:b/>
          <w:color w:val="000000"/>
          <w:sz w:val="24"/>
          <w:szCs w:val="24"/>
        </w:rPr>
        <w:t>Financement</w:t>
      </w:r>
    </w:p>
    <w:p w14:paraId="1703F1FD" w14:textId="77777777" w:rsidR="00C22F9C" w:rsidRDefault="00A8240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Cette activité est financée par l’Union Européenne (UE) dans le cadre du projet de renforcement de capacité des organisations de la société civile à prévenir et lutter contre les violences sexuelles et basées sur le genre.</w:t>
      </w:r>
    </w:p>
    <w:p w14:paraId="0D672299" w14:textId="77777777" w:rsidR="00C22F9C" w:rsidRDefault="00A8240B">
      <w:pPr>
        <w:numPr>
          <w:ilvl w:val="0"/>
          <w:numId w:val="14"/>
        </w:numPr>
        <w:pBdr>
          <w:top w:val="nil"/>
          <w:left w:val="nil"/>
          <w:bottom w:val="nil"/>
          <w:right w:val="nil"/>
          <w:between w:val="nil"/>
        </w:pBdr>
        <w:spacing w:before="280" w:after="280" w:line="360" w:lineRule="auto"/>
        <w:rPr>
          <w:color w:val="000000"/>
          <w:sz w:val="24"/>
          <w:szCs w:val="24"/>
        </w:rPr>
      </w:pPr>
      <w:r>
        <w:rPr>
          <w:rFonts w:ascii="Times New Roman" w:eastAsia="Times New Roman" w:hAnsi="Times New Roman" w:cs="Times New Roman"/>
          <w:b/>
          <w:color w:val="000000"/>
          <w:sz w:val="24"/>
          <w:szCs w:val="24"/>
        </w:rPr>
        <w:t xml:space="preserve">Grandes lignes du rapport de l’étude </w:t>
      </w:r>
      <w:r>
        <w:rPr>
          <w:rFonts w:ascii="Times New Roman" w:eastAsia="Times New Roman" w:hAnsi="Times New Roman" w:cs="Times New Roman"/>
          <w:color w:val="000000"/>
          <w:sz w:val="24"/>
          <w:szCs w:val="24"/>
        </w:rPr>
        <w:t>:</w:t>
      </w:r>
    </w:p>
    <w:p w14:paraId="48A6F716" w14:textId="77777777" w:rsidR="00C22F9C" w:rsidRDefault="00A8240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principal résultat de ce travail est un rapport final de l’étude. Le rapport doit comprendre au moins les éléments (non exhaustifs) suivants :</w:t>
      </w:r>
    </w:p>
    <w:p w14:paraId="4861E6FA" w14:textId="77777777" w:rsidR="00C22F9C" w:rsidRDefault="00A8240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t>
      </w:r>
      <w:r>
        <w:rPr>
          <w:rFonts w:ascii="Times New Roman" w:eastAsia="Times New Roman" w:hAnsi="Times New Roman" w:cs="Times New Roman"/>
          <w:b/>
          <w:sz w:val="24"/>
          <w:szCs w:val="24"/>
        </w:rPr>
        <w:t>Résumé d’exécution</w:t>
      </w:r>
      <w:r>
        <w:rPr>
          <w:rFonts w:ascii="Times New Roman" w:eastAsia="Times New Roman" w:hAnsi="Times New Roman" w:cs="Times New Roman"/>
          <w:sz w:val="24"/>
          <w:szCs w:val="24"/>
        </w:rPr>
        <w:t xml:space="preserve"> </w:t>
      </w:r>
    </w:p>
    <w:p w14:paraId="6EE6D272" w14:textId="77777777" w:rsidR="00C22F9C" w:rsidRDefault="00A8240B">
      <w:pPr>
        <w:numPr>
          <w:ilvl w:val="0"/>
          <w:numId w:val="4"/>
        </w:numPr>
        <w:spacing w:after="0" w:line="360" w:lineRule="auto"/>
        <w:jc w:val="both"/>
        <w:rPr>
          <w:sz w:val="24"/>
          <w:szCs w:val="24"/>
        </w:rPr>
      </w:pPr>
      <w:r>
        <w:rPr>
          <w:rFonts w:ascii="Times New Roman" w:eastAsia="Times New Roman" w:hAnsi="Times New Roman" w:cs="Times New Roman"/>
          <w:sz w:val="24"/>
          <w:szCs w:val="24"/>
        </w:rPr>
        <w:t>Quel est le contexte et quelle est la finalité de l’étude ?</w:t>
      </w:r>
    </w:p>
    <w:p w14:paraId="28244026" w14:textId="77777777" w:rsidR="00C22F9C" w:rsidRDefault="00A8240B">
      <w:pPr>
        <w:numPr>
          <w:ilvl w:val="0"/>
          <w:numId w:val="4"/>
        </w:numPr>
        <w:spacing w:after="0" w:line="360" w:lineRule="auto"/>
        <w:jc w:val="both"/>
        <w:rPr>
          <w:sz w:val="24"/>
          <w:szCs w:val="24"/>
        </w:rPr>
      </w:pPr>
      <w:r>
        <w:rPr>
          <w:rFonts w:ascii="Times New Roman" w:eastAsia="Times New Roman" w:hAnsi="Times New Roman" w:cs="Times New Roman"/>
          <w:sz w:val="24"/>
          <w:szCs w:val="24"/>
        </w:rPr>
        <w:t>Quels sont les principaux résultats, conclusions et recommandations et quelles sont les leçons apprises ?</w:t>
      </w:r>
    </w:p>
    <w:p w14:paraId="673115CB" w14:textId="77777777" w:rsidR="00144CB1" w:rsidRDefault="00144CB1">
      <w:pPr>
        <w:spacing w:line="360" w:lineRule="auto"/>
        <w:jc w:val="both"/>
        <w:rPr>
          <w:rFonts w:ascii="Times New Roman" w:eastAsia="Times New Roman" w:hAnsi="Times New Roman" w:cs="Times New Roman"/>
          <w:sz w:val="24"/>
          <w:szCs w:val="24"/>
        </w:rPr>
      </w:pPr>
    </w:p>
    <w:p w14:paraId="611DFB6A" w14:textId="77777777" w:rsidR="00144CB1" w:rsidRDefault="00144CB1">
      <w:pPr>
        <w:spacing w:line="360" w:lineRule="auto"/>
        <w:jc w:val="both"/>
        <w:rPr>
          <w:rFonts w:ascii="Times New Roman" w:eastAsia="Times New Roman" w:hAnsi="Times New Roman" w:cs="Times New Roman"/>
          <w:sz w:val="24"/>
          <w:szCs w:val="24"/>
        </w:rPr>
      </w:pPr>
    </w:p>
    <w:p w14:paraId="11BDB877" w14:textId="77777777" w:rsidR="00C22F9C" w:rsidRDefault="00A8240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w:t>
      </w:r>
      <w:r>
        <w:rPr>
          <w:rFonts w:ascii="Times New Roman" w:eastAsia="Times New Roman" w:hAnsi="Times New Roman" w:cs="Times New Roman"/>
          <w:b/>
          <w:sz w:val="24"/>
          <w:szCs w:val="24"/>
        </w:rPr>
        <w:t>Introduction</w:t>
      </w:r>
    </w:p>
    <w:p w14:paraId="365A6BB9" w14:textId="77777777" w:rsidR="00C22F9C" w:rsidRDefault="00A8240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iii</w:t>
      </w:r>
      <w:r>
        <w:rPr>
          <w:rFonts w:ascii="Times New Roman" w:eastAsia="Times New Roman" w:hAnsi="Times New Roman" w:cs="Times New Roman"/>
          <w:b/>
          <w:sz w:val="24"/>
          <w:szCs w:val="24"/>
        </w:rPr>
        <w:t>. Description de l’intervention</w:t>
      </w:r>
    </w:p>
    <w:p w14:paraId="45E35E6A" w14:textId="77777777" w:rsidR="00C22F9C" w:rsidRDefault="00A8240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Objectifs et Etendue de l’étude</w:t>
      </w:r>
    </w:p>
    <w:p w14:paraId="3EA9E9EA" w14:textId="77777777" w:rsidR="00C22F9C" w:rsidRDefault="00A8240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 Approche méthodologique d’étude</w:t>
      </w:r>
    </w:p>
    <w:p w14:paraId="177F94F2" w14:textId="77777777" w:rsidR="00C22F9C" w:rsidRDefault="00A8240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vi. Analyse des données</w:t>
      </w:r>
    </w:p>
    <w:p w14:paraId="1481C0B6" w14:textId="77777777" w:rsidR="00C22F9C" w:rsidRDefault="00A8240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vii. Résultats et conclusions</w:t>
      </w:r>
    </w:p>
    <w:p w14:paraId="50CAD3D1" w14:textId="77777777" w:rsidR="00C22F9C" w:rsidRDefault="00A8240B">
      <w:pPr>
        <w:numPr>
          <w:ilvl w:val="0"/>
          <w:numId w:val="6"/>
        </w:numPr>
        <w:spacing w:after="0" w:line="360" w:lineRule="auto"/>
        <w:jc w:val="both"/>
        <w:rPr>
          <w:sz w:val="24"/>
          <w:szCs w:val="24"/>
        </w:rPr>
      </w:pPr>
      <w:r>
        <w:rPr>
          <w:rFonts w:ascii="Times New Roman" w:eastAsia="Times New Roman" w:hAnsi="Times New Roman" w:cs="Times New Roman"/>
          <w:sz w:val="24"/>
          <w:szCs w:val="24"/>
        </w:rPr>
        <w:t xml:space="preserve">Résultats et conclusions globaux en répondant aux questions ou critères de l’étude </w:t>
      </w:r>
    </w:p>
    <w:p w14:paraId="102CE0A1" w14:textId="77777777" w:rsidR="00C22F9C" w:rsidRDefault="00A8240B">
      <w:pPr>
        <w:numPr>
          <w:ilvl w:val="0"/>
          <w:numId w:val="6"/>
        </w:numPr>
        <w:spacing w:after="0" w:line="360" w:lineRule="auto"/>
        <w:jc w:val="both"/>
        <w:rPr>
          <w:sz w:val="24"/>
          <w:szCs w:val="24"/>
        </w:rPr>
      </w:pPr>
      <w:r>
        <w:rPr>
          <w:rFonts w:ascii="Times New Roman" w:eastAsia="Times New Roman" w:hAnsi="Times New Roman" w:cs="Times New Roman"/>
          <w:sz w:val="24"/>
          <w:szCs w:val="24"/>
        </w:rPr>
        <w:t>Résultats et conclusions par axe d’intervention</w:t>
      </w:r>
    </w:p>
    <w:p w14:paraId="24B242F4" w14:textId="77777777" w:rsidR="00C22F9C" w:rsidRDefault="00A8240B">
      <w:pPr>
        <w:numPr>
          <w:ilvl w:val="0"/>
          <w:numId w:val="6"/>
        </w:numPr>
        <w:spacing w:after="0" w:line="360" w:lineRule="auto"/>
        <w:jc w:val="both"/>
        <w:rPr>
          <w:sz w:val="24"/>
          <w:szCs w:val="24"/>
        </w:rPr>
      </w:pPr>
      <w:r>
        <w:rPr>
          <w:rFonts w:ascii="Times New Roman" w:eastAsia="Times New Roman" w:hAnsi="Times New Roman" w:cs="Times New Roman"/>
          <w:sz w:val="24"/>
          <w:szCs w:val="24"/>
        </w:rPr>
        <w:t>Conclusion générale</w:t>
      </w:r>
    </w:p>
    <w:p w14:paraId="65BF4289" w14:textId="77777777" w:rsidR="00C22F9C" w:rsidRDefault="00A8240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viii.</w:t>
      </w:r>
      <w:r>
        <w:rPr>
          <w:rFonts w:ascii="Times New Roman" w:eastAsia="Times New Roman" w:hAnsi="Times New Roman" w:cs="Times New Roman"/>
          <w:b/>
          <w:sz w:val="24"/>
          <w:szCs w:val="24"/>
        </w:rPr>
        <w:t xml:space="preserve"> Recommandations</w:t>
      </w:r>
    </w:p>
    <w:p w14:paraId="75686EF0" w14:textId="77777777" w:rsidR="00C22F9C" w:rsidRDefault="00A8240B">
      <w:pPr>
        <w:numPr>
          <w:ilvl w:val="0"/>
          <w:numId w:val="8"/>
        </w:numPr>
        <w:spacing w:after="0" w:line="360" w:lineRule="auto"/>
        <w:jc w:val="both"/>
        <w:rPr>
          <w:sz w:val="24"/>
          <w:szCs w:val="24"/>
        </w:rPr>
      </w:pPr>
      <w:r>
        <w:rPr>
          <w:rFonts w:ascii="Times New Roman" w:eastAsia="Times New Roman" w:hAnsi="Times New Roman" w:cs="Times New Roman"/>
          <w:sz w:val="24"/>
          <w:szCs w:val="24"/>
        </w:rPr>
        <w:t>Recommandations d’ordre général</w:t>
      </w:r>
    </w:p>
    <w:p w14:paraId="4274DFFA" w14:textId="77777777" w:rsidR="00C22F9C" w:rsidRDefault="00A8240B">
      <w:pPr>
        <w:numPr>
          <w:ilvl w:val="0"/>
          <w:numId w:val="8"/>
        </w:numPr>
        <w:spacing w:after="0" w:line="360" w:lineRule="auto"/>
        <w:jc w:val="both"/>
        <w:rPr>
          <w:sz w:val="24"/>
          <w:szCs w:val="24"/>
        </w:rPr>
      </w:pPr>
      <w:r>
        <w:rPr>
          <w:rFonts w:ascii="Times New Roman" w:eastAsia="Times New Roman" w:hAnsi="Times New Roman" w:cs="Times New Roman"/>
          <w:sz w:val="24"/>
          <w:szCs w:val="24"/>
        </w:rPr>
        <w:t>Recommandations spécifiques</w:t>
      </w:r>
    </w:p>
    <w:p w14:paraId="18C15E27" w14:textId="77777777" w:rsidR="00C22F9C" w:rsidRDefault="00A8240B">
      <w:pPr>
        <w:numPr>
          <w:ilvl w:val="0"/>
          <w:numId w:val="8"/>
        </w:numPr>
        <w:spacing w:after="0" w:line="360" w:lineRule="auto"/>
        <w:jc w:val="both"/>
        <w:rPr>
          <w:sz w:val="24"/>
          <w:szCs w:val="24"/>
        </w:rPr>
      </w:pPr>
      <w:r>
        <w:rPr>
          <w:rFonts w:ascii="Times New Roman" w:eastAsia="Times New Roman" w:hAnsi="Times New Roman" w:cs="Times New Roman"/>
          <w:sz w:val="24"/>
          <w:szCs w:val="24"/>
        </w:rPr>
        <w:t>Propositions d’axes stratégiques pour toute prochaine étude axée sur le genre</w:t>
      </w:r>
    </w:p>
    <w:p w14:paraId="4D45B9F6" w14:textId="77777777" w:rsidR="00C22F9C" w:rsidRDefault="00A8240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ix</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Leçons apprises</w:t>
      </w:r>
    </w:p>
    <w:p w14:paraId="06FBEA43" w14:textId="77777777" w:rsidR="00C22F9C" w:rsidRDefault="00A8240B">
      <w:pPr>
        <w:numPr>
          <w:ilvl w:val="0"/>
          <w:numId w:val="4"/>
        </w:numPr>
        <w:spacing w:after="0" w:line="360" w:lineRule="auto"/>
        <w:jc w:val="both"/>
        <w:rPr>
          <w:sz w:val="24"/>
          <w:szCs w:val="24"/>
        </w:rPr>
      </w:pPr>
      <w:r>
        <w:rPr>
          <w:rFonts w:ascii="Times New Roman" w:eastAsia="Times New Roman" w:hAnsi="Times New Roman" w:cs="Times New Roman"/>
          <w:sz w:val="24"/>
          <w:szCs w:val="24"/>
        </w:rPr>
        <w:t xml:space="preserve">Quelles sont les principales leçons tirées de l’expérience et quelles leçons pourraient s’appliquer à d’autres projets ? </w:t>
      </w:r>
    </w:p>
    <w:p w14:paraId="0956C24B" w14:textId="77777777" w:rsidR="00C22F9C" w:rsidRDefault="00A8240B">
      <w:pPr>
        <w:numPr>
          <w:ilvl w:val="0"/>
          <w:numId w:val="4"/>
        </w:numPr>
        <w:spacing w:after="0" w:line="360" w:lineRule="auto"/>
        <w:jc w:val="both"/>
        <w:rPr>
          <w:sz w:val="24"/>
          <w:szCs w:val="24"/>
        </w:rPr>
      </w:pPr>
      <w:r>
        <w:rPr>
          <w:rFonts w:ascii="Times New Roman" w:eastAsia="Times New Roman" w:hAnsi="Times New Roman" w:cs="Times New Roman"/>
          <w:sz w:val="24"/>
          <w:szCs w:val="24"/>
        </w:rPr>
        <w:t>Quelles sont les meilleurs et plus mauvaises pratiques en termes de conception, d’engagement, de suivi et évaluation des produits, et activités autour des objectifs ?</w:t>
      </w:r>
    </w:p>
    <w:p w14:paraId="60686254" w14:textId="77777777" w:rsidR="00C22F9C" w:rsidRDefault="00A8240B">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x. </w:t>
      </w:r>
      <w:r>
        <w:rPr>
          <w:rFonts w:ascii="Times New Roman" w:eastAsia="Times New Roman" w:hAnsi="Times New Roman" w:cs="Times New Roman"/>
          <w:b/>
          <w:color w:val="000000"/>
          <w:sz w:val="24"/>
          <w:szCs w:val="24"/>
        </w:rPr>
        <w:t>Annexes du document final</w:t>
      </w:r>
    </w:p>
    <w:p w14:paraId="1F911B5E" w14:textId="77777777" w:rsidR="00C22F9C" w:rsidRPr="00414498" w:rsidRDefault="00A8240B">
      <w:pPr>
        <w:numPr>
          <w:ilvl w:val="0"/>
          <w:numId w:val="4"/>
        </w:numPr>
        <w:spacing w:after="0" w:line="360" w:lineRule="auto"/>
        <w:jc w:val="both"/>
        <w:rPr>
          <w:rFonts w:ascii="Times New Roman" w:hAnsi="Times New Roman" w:cs="Times New Roman"/>
          <w:sz w:val="24"/>
          <w:szCs w:val="24"/>
        </w:rPr>
      </w:pPr>
      <w:r w:rsidRPr="00414498">
        <w:rPr>
          <w:rFonts w:ascii="Times New Roman" w:eastAsia="Times New Roman" w:hAnsi="Times New Roman" w:cs="Times New Roman"/>
          <w:sz w:val="24"/>
          <w:szCs w:val="24"/>
        </w:rPr>
        <w:t>TDR</w:t>
      </w:r>
    </w:p>
    <w:p w14:paraId="1CD39960" w14:textId="77777777" w:rsidR="00C22F9C" w:rsidRPr="00414498" w:rsidRDefault="00A8240B">
      <w:pPr>
        <w:numPr>
          <w:ilvl w:val="0"/>
          <w:numId w:val="4"/>
        </w:numPr>
        <w:spacing w:after="0" w:line="360" w:lineRule="auto"/>
        <w:jc w:val="both"/>
        <w:rPr>
          <w:rFonts w:ascii="Times New Roman" w:hAnsi="Times New Roman" w:cs="Times New Roman"/>
          <w:sz w:val="24"/>
          <w:szCs w:val="24"/>
        </w:rPr>
      </w:pPr>
      <w:r w:rsidRPr="00414498">
        <w:rPr>
          <w:rFonts w:ascii="Times New Roman" w:eastAsia="Times New Roman" w:hAnsi="Times New Roman" w:cs="Times New Roman"/>
          <w:sz w:val="24"/>
          <w:szCs w:val="24"/>
        </w:rPr>
        <w:t>Liste des personnes rencontrées ou groupes interviewés ou consultés ;</w:t>
      </w:r>
    </w:p>
    <w:p w14:paraId="7CAFC280" w14:textId="77777777" w:rsidR="00C22F9C" w:rsidRPr="00414498" w:rsidRDefault="00A8240B">
      <w:pPr>
        <w:numPr>
          <w:ilvl w:val="0"/>
          <w:numId w:val="4"/>
        </w:numPr>
        <w:spacing w:after="0" w:line="360" w:lineRule="auto"/>
        <w:jc w:val="both"/>
        <w:rPr>
          <w:rFonts w:ascii="Times New Roman" w:hAnsi="Times New Roman" w:cs="Times New Roman"/>
          <w:sz w:val="24"/>
          <w:szCs w:val="24"/>
        </w:rPr>
      </w:pPr>
      <w:r w:rsidRPr="00414498">
        <w:rPr>
          <w:rFonts w:ascii="Times New Roman" w:eastAsia="Times New Roman" w:hAnsi="Times New Roman" w:cs="Times New Roman"/>
          <w:sz w:val="24"/>
          <w:szCs w:val="24"/>
        </w:rPr>
        <w:t>Résumé des visites de terrain ;</w:t>
      </w:r>
    </w:p>
    <w:p w14:paraId="7DC5A567" w14:textId="77777777" w:rsidR="00C22F9C" w:rsidRPr="00414498" w:rsidRDefault="00A8240B">
      <w:pPr>
        <w:numPr>
          <w:ilvl w:val="0"/>
          <w:numId w:val="4"/>
        </w:numPr>
        <w:spacing w:after="0" w:line="360" w:lineRule="auto"/>
        <w:jc w:val="both"/>
        <w:rPr>
          <w:rFonts w:ascii="Times New Roman" w:hAnsi="Times New Roman" w:cs="Times New Roman"/>
          <w:sz w:val="24"/>
          <w:szCs w:val="24"/>
        </w:rPr>
      </w:pPr>
      <w:r w:rsidRPr="00414498">
        <w:rPr>
          <w:rFonts w:ascii="Times New Roman" w:eastAsia="Times New Roman" w:hAnsi="Times New Roman" w:cs="Times New Roman"/>
          <w:sz w:val="24"/>
          <w:szCs w:val="24"/>
        </w:rPr>
        <w:t>Liste des documents exploités;</w:t>
      </w:r>
    </w:p>
    <w:p w14:paraId="226758D4" w14:textId="35C0E3C4" w:rsidR="00CC562D" w:rsidRPr="00414498" w:rsidRDefault="00CC562D">
      <w:pPr>
        <w:numPr>
          <w:ilvl w:val="0"/>
          <w:numId w:val="4"/>
        </w:numPr>
        <w:spacing w:after="0" w:line="360" w:lineRule="auto"/>
        <w:jc w:val="both"/>
        <w:rPr>
          <w:rFonts w:ascii="Times New Roman" w:hAnsi="Times New Roman" w:cs="Times New Roman"/>
          <w:sz w:val="24"/>
          <w:szCs w:val="24"/>
        </w:rPr>
      </w:pPr>
      <w:r w:rsidRPr="010CBDA3">
        <w:rPr>
          <w:rFonts w:ascii="Times New Roman" w:hAnsi="Times New Roman" w:cs="Times New Roman"/>
          <w:sz w:val="24"/>
          <w:szCs w:val="24"/>
        </w:rPr>
        <w:t xml:space="preserve">Outils de collecte des </w:t>
      </w:r>
      <w:r w:rsidR="00414498" w:rsidRPr="010CBDA3">
        <w:rPr>
          <w:rFonts w:ascii="Times New Roman" w:hAnsi="Times New Roman" w:cs="Times New Roman"/>
          <w:sz w:val="24"/>
          <w:szCs w:val="24"/>
        </w:rPr>
        <w:t>données</w:t>
      </w:r>
      <w:r w:rsidR="00631298">
        <w:rPr>
          <w:rFonts w:ascii="Times New Roman" w:hAnsi="Times New Roman" w:cs="Times New Roman"/>
          <w:sz w:val="24"/>
          <w:szCs w:val="24"/>
        </w:rPr>
        <w:t>, transcriptions</w:t>
      </w:r>
      <w:r w:rsidR="75C01C67" w:rsidRPr="010CBDA3">
        <w:rPr>
          <w:rFonts w:ascii="Times New Roman" w:hAnsi="Times New Roman" w:cs="Times New Roman"/>
          <w:sz w:val="24"/>
          <w:szCs w:val="24"/>
        </w:rPr>
        <w:t xml:space="preserve"> </w:t>
      </w:r>
      <w:r w:rsidR="00631298">
        <w:rPr>
          <w:rFonts w:ascii="Times New Roman" w:hAnsi="Times New Roman" w:cs="Times New Roman"/>
          <w:sz w:val="24"/>
          <w:szCs w:val="24"/>
        </w:rPr>
        <w:t>des interviews et groupes de discussion</w:t>
      </w:r>
      <w:r w:rsidR="75C01C67" w:rsidRPr="010CBDA3">
        <w:rPr>
          <w:rFonts w:ascii="Times New Roman" w:hAnsi="Times New Roman" w:cs="Times New Roman"/>
          <w:sz w:val="24"/>
          <w:szCs w:val="24"/>
        </w:rPr>
        <w:t xml:space="preserve"> </w:t>
      </w:r>
    </w:p>
    <w:p w14:paraId="71C792F5" w14:textId="278C14AB" w:rsidR="00CC562D" w:rsidRPr="00414498" w:rsidRDefault="00CC562D">
      <w:pPr>
        <w:numPr>
          <w:ilvl w:val="0"/>
          <w:numId w:val="4"/>
        </w:numPr>
        <w:spacing w:after="0" w:line="360" w:lineRule="auto"/>
        <w:jc w:val="both"/>
        <w:rPr>
          <w:rFonts w:ascii="Times New Roman" w:hAnsi="Times New Roman" w:cs="Times New Roman"/>
          <w:sz w:val="24"/>
          <w:szCs w:val="24"/>
        </w:rPr>
      </w:pPr>
      <w:r w:rsidRPr="010CBDA3">
        <w:rPr>
          <w:rFonts w:ascii="Times New Roman" w:hAnsi="Times New Roman" w:cs="Times New Roman"/>
          <w:sz w:val="24"/>
          <w:szCs w:val="24"/>
        </w:rPr>
        <w:t>Tableau des indicateurs avec la liste des OSC et structure par commune et zone d’intervention du projet</w:t>
      </w:r>
    </w:p>
    <w:p w14:paraId="5642F636" w14:textId="77777777" w:rsidR="00144CB1" w:rsidRPr="00144CB1" w:rsidRDefault="00144CB1" w:rsidP="00144CB1">
      <w:pPr>
        <w:spacing w:after="0" w:line="360" w:lineRule="auto"/>
        <w:ind w:left="360"/>
        <w:jc w:val="both"/>
        <w:rPr>
          <w:rFonts w:ascii="Times New Roman" w:hAnsi="Times New Roman" w:cs="Times New Roman"/>
          <w:sz w:val="24"/>
          <w:szCs w:val="24"/>
        </w:rPr>
      </w:pPr>
    </w:p>
    <w:p w14:paraId="61EC5440" w14:textId="77777777" w:rsidR="00144CB1" w:rsidRPr="00144CB1" w:rsidRDefault="00144CB1" w:rsidP="00144CB1">
      <w:pPr>
        <w:spacing w:after="0" w:line="360" w:lineRule="auto"/>
        <w:ind w:left="720"/>
        <w:jc w:val="both"/>
        <w:rPr>
          <w:rFonts w:ascii="Times New Roman" w:hAnsi="Times New Roman" w:cs="Times New Roman"/>
          <w:sz w:val="24"/>
          <w:szCs w:val="24"/>
        </w:rPr>
      </w:pPr>
    </w:p>
    <w:p w14:paraId="105DA7F5" w14:textId="77777777" w:rsidR="00C22F9C" w:rsidRPr="00414498" w:rsidRDefault="00A8240B">
      <w:pPr>
        <w:numPr>
          <w:ilvl w:val="0"/>
          <w:numId w:val="4"/>
        </w:numPr>
        <w:spacing w:after="0" w:line="360" w:lineRule="auto"/>
        <w:jc w:val="both"/>
        <w:rPr>
          <w:rFonts w:ascii="Times New Roman" w:hAnsi="Times New Roman" w:cs="Times New Roman"/>
          <w:sz w:val="24"/>
          <w:szCs w:val="24"/>
        </w:rPr>
      </w:pPr>
      <w:r w:rsidRPr="00414498">
        <w:rPr>
          <w:rFonts w:ascii="Times New Roman" w:eastAsia="Times New Roman" w:hAnsi="Times New Roman" w:cs="Times New Roman"/>
          <w:sz w:val="24"/>
          <w:szCs w:val="24"/>
        </w:rPr>
        <w:t>Cadre des résultats du projet ;</w:t>
      </w:r>
    </w:p>
    <w:p w14:paraId="74012BA8" w14:textId="77777777" w:rsidR="00C22F9C" w:rsidRPr="00414498" w:rsidRDefault="00A8240B">
      <w:pPr>
        <w:numPr>
          <w:ilvl w:val="0"/>
          <w:numId w:val="4"/>
        </w:numPr>
        <w:spacing w:after="0" w:line="360" w:lineRule="auto"/>
        <w:jc w:val="both"/>
        <w:rPr>
          <w:rFonts w:ascii="Times New Roman" w:hAnsi="Times New Roman" w:cs="Times New Roman"/>
          <w:sz w:val="24"/>
          <w:szCs w:val="24"/>
        </w:rPr>
      </w:pPr>
      <w:r w:rsidRPr="00414498">
        <w:rPr>
          <w:rFonts w:ascii="Times New Roman" w:eastAsia="Times New Roman" w:hAnsi="Times New Roman" w:cs="Times New Roman"/>
          <w:sz w:val="24"/>
          <w:szCs w:val="24"/>
        </w:rPr>
        <w:t>Tableaux de résumé des déductions ;</w:t>
      </w:r>
    </w:p>
    <w:p w14:paraId="6BF4BB13" w14:textId="77777777" w:rsidR="00C22F9C" w:rsidRPr="00414498" w:rsidRDefault="00A8240B">
      <w:pPr>
        <w:numPr>
          <w:ilvl w:val="0"/>
          <w:numId w:val="4"/>
        </w:numPr>
        <w:spacing w:after="0" w:line="360" w:lineRule="auto"/>
        <w:jc w:val="both"/>
        <w:rPr>
          <w:rFonts w:ascii="Times New Roman" w:hAnsi="Times New Roman" w:cs="Times New Roman"/>
          <w:sz w:val="24"/>
          <w:szCs w:val="24"/>
        </w:rPr>
      </w:pPr>
      <w:r w:rsidRPr="00414498">
        <w:rPr>
          <w:rFonts w:ascii="Times New Roman" w:eastAsia="Times New Roman" w:hAnsi="Times New Roman" w:cs="Times New Roman"/>
          <w:sz w:val="24"/>
          <w:szCs w:val="24"/>
        </w:rPr>
        <w:t xml:space="preserve">Liste d’acronymes employés dans le document. </w:t>
      </w:r>
    </w:p>
    <w:p w14:paraId="26B9A93C" w14:textId="77777777" w:rsidR="00C22F9C" w:rsidRDefault="00A8240B">
      <w:pPr>
        <w:numPr>
          <w:ilvl w:val="0"/>
          <w:numId w:val="14"/>
        </w:numPr>
        <w:pBdr>
          <w:top w:val="nil"/>
          <w:left w:val="nil"/>
          <w:bottom w:val="nil"/>
          <w:right w:val="nil"/>
          <w:between w:val="nil"/>
        </w:pBdr>
        <w:spacing w:before="120" w:after="120"/>
        <w:jc w:val="both"/>
        <w:rPr>
          <w:b/>
          <w:color w:val="000000"/>
          <w:sz w:val="24"/>
          <w:szCs w:val="24"/>
        </w:rPr>
      </w:pPr>
      <w:r>
        <w:rPr>
          <w:rFonts w:ascii="Times New Roman" w:eastAsia="Times New Roman" w:hAnsi="Times New Roman" w:cs="Times New Roman"/>
          <w:b/>
          <w:color w:val="000000"/>
          <w:sz w:val="24"/>
          <w:szCs w:val="24"/>
        </w:rPr>
        <w:t>Dépôt des dossiers de candidature</w:t>
      </w:r>
    </w:p>
    <w:p w14:paraId="3B9E3AD7" w14:textId="77777777" w:rsidR="00C22F9C" w:rsidRDefault="00A8240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dossier de candidature devra comprendre :</w:t>
      </w:r>
    </w:p>
    <w:p w14:paraId="40440DFE" w14:textId="77777777" w:rsidR="00C22F9C" w:rsidRDefault="00A8240B">
      <w:pPr>
        <w:numPr>
          <w:ilvl w:val="0"/>
          <w:numId w:val="15"/>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Une lettre de motivation démontrant l’intérêt pour le poste ;</w:t>
      </w:r>
    </w:p>
    <w:p w14:paraId="0DD9927B" w14:textId="77777777" w:rsidR="00C22F9C" w:rsidRDefault="00A8240B">
      <w:pPr>
        <w:numPr>
          <w:ilvl w:val="0"/>
          <w:numId w:val="15"/>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Une proposition technique comportant la compréhension de la mission, la méthodologie proposée, le chronogramme détaillé, la présentation de l’équipe du/de la consultant/e; </w:t>
      </w:r>
    </w:p>
    <w:p w14:paraId="6ED53DEA" w14:textId="77777777" w:rsidR="00C22F9C" w:rsidRDefault="00A8240B">
      <w:pPr>
        <w:numPr>
          <w:ilvl w:val="0"/>
          <w:numId w:val="15"/>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Les CV des personnes clefs impliquées dans la mission ; </w:t>
      </w:r>
    </w:p>
    <w:p w14:paraId="05B533EC" w14:textId="24805B14" w:rsidR="00C22F9C" w:rsidRDefault="00A8240B">
      <w:pPr>
        <w:numPr>
          <w:ilvl w:val="0"/>
          <w:numId w:val="15"/>
        </w:numPr>
        <w:pBdr>
          <w:top w:val="nil"/>
          <w:left w:val="nil"/>
          <w:bottom w:val="nil"/>
          <w:right w:val="nil"/>
          <w:between w:val="nil"/>
        </w:pBdr>
        <w:spacing w:line="360" w:lineRule="auto"/>
        <w:jc w:val="both"/>
        <w:rPr>
          <w:color w:val="000000"/>
          <w:sz w:val="24"/>
          <w:szCs w:val="24"/>
        </w:rPr>
      </w:pPr>
      <w:r w:rsidRPr="010CBDA3">
        <w:rPr>
          <w:rFonts w:ascii="Times New Roman" w:eastAsia="Times New Roman" w:hAnsi="Times New Roman" w:cs="Times New Roman"/>
          <w:color w:val="000000" w:themeColor="text1"/>
          <w:sz w:val="24"/>
          <w:szCs w:val="24"/>
        </w:rPr>
        <w:t>Une offre financière détaillée présentant le montant global de la proposition en HT</w:t>
      </w:r>
      <w:r w:rsidR="48BAC8A2" w:rsidRPr="010CBDA3">
        <w:rPr>
          <w:rFonts w:ascii="Times New Roman" w:eastAsia="Times New Roman" w:hAnsi="Times New Roman" w:cs="Times New Roman"/>
          <w:color w:val="000000" w:themeColor="text1"/>
          <w:sz w:val="24"/>
          <w:szCs w:val="24"/>
        </w:rPr>
        <w:t>G</w:t>
      </w:r>
      <w:r w:rsidRPr="010CBDA3">
        <w:rPr>
          <w:rFonts w:ascii="Times New Roman" w:eastAsia="Times New Roman" w:hAnsi="Times New Roman" w:cs="Times New Roman"/>
          <w:color w:val="000000" w:themeColor="text1"/>
          <w:sz w:val="24"/>
          <w:szCs w:val="24"/>
        </w:rPr>
        <w:t xml:space="preserve"> et acheminer aux adresses indiquées ci-dessous au plus tard le </w:t>
      </w:r>
      <w:r w:rsidR="0065798A">
        <w:rPr>
          <w:rFonts w:ascii="Times New Roman" w:eastAsia="Times New Roman" w:hAnsi="Times New Roman" w:cs="Times New Roman"/>
          <w:b/>
          <w:bCs/>
          <w:color w:val="000000" w:themeColor="text1"/>
          <w:sz w:val="24"/>
          <w:szCs w:val="24"/>
        </w:rPr>
        <w:t xml:space="preserve">30 juin </w:t>
      </w:r>
      <w:r w:rsidRPr="006D444D">
        <w:rPr>
          <w:rFonts w:ascii="Times New Roman" w:eastAsia="Times New Roman" w:hAnsi="Times New Roman" w:cs="Times New Roman"/>
          <w:b/>
          <w:bCs/>
          <w:color w:val="000000" w:themeColor="text1"/>
          <w:sz w:val="24"/>
          <w:szCs w:val="24"/>
        </w:rPr>
        <w:t xml:space="preserve"> 2021 à </w:t>
      </w:r>
      <w:r w:rsidR="0065798A">
        <w:rPr>
          <w:rFonts w:ascii="Times New Roman" w:eastAsia="Times New Roman" w:hAnsi="Times New Roman" w:cs="Times New Roman"/>
          <w:b/>
          <w:bCs/>
          <w:color w:val="000000" w:themeColor="text1"/>
          <w:sz w:val="24"/>
          <w:szCs w:val="24"/>
        </w:rPr>
        <w:t xml:space="preserve">4 </w:t>
      </w:r>
      <w:r w:rsidRPr="006D444D">
        <w:rPr>
          <w:rFonts w:ascii="Times New Roman" w:eastAsia="Times New Roman" w:hAnsi="Times New Roman" w:cs="Times New Roman"/>
          <w:b/>
          <w:bCs/>
          <w:color w:val="000000" w:themeColor="text1"/>
          <w:sz w:val="24"/>
          <w:szCs w:val="24"/>
        </w:rPr>
        <w:t xml:space="preserve">h00 pm. </w:t>
      </w:r>
    </w:p>
    <w:p w14:paraId="1395863B" w14:textId="77777777" w:rsidR="00C22F9C" w:rsidRDefault="00A8240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L'objet du courrier électronique ou l’enveloppe contenant le dossier doit indiquer clairement : « </w:t>
      </w:r>
      <w:r>
        <w:rPr>
          <w:rFonts w:ascii="Times New Roman" w:eastAsia="Times New Roman" w:hAnsi="Times New Roman" w:cs="Times New Roman"/>
          <w:b/>
          <w:sz w:val="24"/>
          <w:szCs w:val="24"/>
        </w:rPr>
        <w:t>DOSSIER DE CANDIDATURE AU POSTE DE CONSULTANT EN ETUDE SUR LE VSBG AFASDA/PLAN-HAITI)»</w:t>
      </w:r>
    </w:p>
    <w:p w14:paraId="6A4B4053" w14:textId="77777777" w:rsidR="00C22F9C" w:rsidRDefault="00C22F9C">
      <w:pPr>
        <w:jc w:val="both"/>
        <w:rPr>
          <w:rFonts w:ascii="Times New Roman" w:eastAsia="Times New Roman" w:hAnsi="Times New Roman" w:cs="Times New Roman"/>
          <w:sz w:val="24"/>
          <w:szCs w:val="24"/>
        </w:rPr>
      </w:pPr>
    </w:p>
    <w:p w14:paraId="63EFA783" w14:textId="77777777" w:rsidR="00C22F9C" w:rsidRDefault="00A8240B">
      <w:pPr>
        <w:tabs>
          <w:tab w:val="left" w:pos="1440"/>
        </w:tabs>
        <w:rPr>
          <w:rFonts w:ascii="Times New Roman" w:eastAsia="Times New Roman" w:hAnsi="Times New Roman" w:cs="Times New Roman"/>
          <w:sz w:val="24"/>
          <w:szCs w:val="24"/>
        </w:rPr>
      </w:pPr>
      <w:r>
        <w:rPr>
          <w:rFonts w:ascii="Times New Roman" w:eastAsia="Times New Roman" w:hAnsi="Times New Roman" w:cs="Times New Roman"/>
          <w:sz w:val="24"/>
          <w:szCs w:val="24"/>
        </w:rPr>
        <w:t>Version imprimée : Adresse : siège social de AFASDA, sis au #145, Rue 21JK, Cap Haïtien, Nord, Haïti</w:t>
      </w:r>
    </w:p>
    <w:p w14:paraId="7BFA33FD" w14:textId="77777777" w:rsidR="00C22F9C" w:rsidRDefault="00C22F9C">
      <w:pPr>
        <w:tabs>
          <w:tab w:val="left" w:pos="1440"/>
        </w:tabs>
        <w:rPr>
          <w:rFonts w:ascii="Times New Roman" w:eastAsia="Times New Roman" w:hAnsi="Times New Roman" w:cs="Times New Roman"/>
          <w:sz w:val="24"/>
          <w:szCs w:val="24"/>
        </w:rPr>
      </w:pPr>
    </w:p>
    <w:p w14:paraId="48A96439" w14:textId="77777777" w:rsidR="00C22F9C" w:rsidRDefault="00A8240B">
      <w:pPr>
        <w:tabs>
          <w:tab w:val="left" w:pos="1440"/>
        </w:tabs>
        <w:rPr>
          <w:rFonts w:ascii="Times New Roman" w:eastAsia="Times New Roman" w:hAnsi="Times New Roman" w:cs="Times New Roman"/>
          <w:sz w:val="24"/>
          <w:szCs w:val="24"/>
        </w:rPr>
      </w:pPr>
      <w:r>
        <w:rPr>
          <w:rFonts w:ascii="Times New Roman" w:eastAsia="Times New Roman" w:hAnsi="Times New Roman" w:cs="Times New Roman"/>
          <w:b/>
          <w:sz w:val="24"/>
          <w:szCs w:val="24"/>
        </w:rPr>
        <w:t>Personne Contact</w:t>
      </w:r>
      <w:r>
        <w:rPr>
          <w:rFonts w:ascii="Times New Roman" w:eastAsia="Times New Roman" w:hAnsi="Times New Roman" w:cs="Times New Roman"/>
          <w:sz w:val="24"/>
          <w:szCs w:val="24"/>
        </w:rPr>
        <w:t> : Elvire Eugène, 3461-4089</w:t>
      </w:r>
    </w:p>
    <w:p w14:paraId="2576CD87" w14:textId="77777777" w:rsidR="00C22F9C" w:rsidRDefault="00A8240B">
      <w:pPr>
        <w:tabs>
          <w:tab w:val="left" w:pos="1440"/>
        </w:tabs>
        <w:rPr>
          <w:rFonts w:ascii="Times New Roman" w:eastAsia="Times New Roman" w:hAnsi="Times New Roman" w:cs="Times New Roman"/>
          <w:sz w:val="24"/>
          <w:szCs w:val="24"/>
        </w:rPr>
      </w:pPr>
      <w:r>
        <w:rPr>
          <w:rFonts w:ascii="Arial" w:eastAsia="Arial" w:hAnsi="Arial" w:cs="Arial"/>
          <w:color w:val="000000"/>
        </w:rPr>
        <w:t xml:space="preserve">                                </w:t>
      </w:r>
      <w:r>
        <w:rPr>
          <w:rFonts w:ascii="Times New Roman" w:eastAsia="Times New Roman" w:hAnsi="Times New Roman" w:cs="Times New Roman"/>
          <w:sz w:val="24"/>
          <w:szCs w:val="24"/>
        </w:rPr>
        <w:t>Same-Lourdes JOSEPH 3650-5201/3232-8027</w:t>
      </w:r>
    </w:p>
    <w:p w14:paraId="59B78052" w14:textId="77777777" w:rsidR="00C22F9C" w:rsidRDefault="00A8240B">
      <w:pPr>
        <w:tabs>
          <w:tab w:val="left" w:pos="144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FC2A02E" w14:textId="77777777" w:rsidR="00C22F9C" w:rsidRDefault="00A8240B">
      <w:pPr>
        <w:tabs>
          <w:tab w:val="right" w:pos="779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Ou   Version électronique : afasdacap@yahoo.fr</w:t>
      </w:r>
    </w:p>
    <w:p w14:paraId="1887EF1D" w14:textId="77777777" w:rsidR="00C22F9C" w:rsidRDefault="00C22F9C">
      <w:pPr>
        <w:rPr>
          <w:rFonts w:ascii="Times New Roman" w:eastAsia="Times New Roman" w:hAnsi="Times New Roman" w:cs="Times New Roman"/>
          <w:b/>
          <w:sz w:val="24"/>
          <w:szCs w:val="24"/>
        </w:rPr>
      </w:pPr>
    </w:p>
    <w:p w14:paraId="31ECDC51" w14:textId="77777777" w:rsidR="00C22F9C" w:rsidRDefault="00A8240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NB. - Poste ouvert à tous candidats. -  Priorité sera accordée aux femmes </w:t>
      </w:r>
      <w:proofErr w:type="spellStart"/>
      <w:r>
        <w:rPr>
          <w:rFonts w:ascii="Times New Roman" w:eastAsia="Times New Roman" w:hAnsi="Times New Roman" w:cs="Times New Roman"/>
          <w:b/>
          <w:sz w:val="24"/>
          <w:szCs w:val="24"/>
        </w:rPr>
        <w:t>a</w:t>
      </w:r>
      <w:proofErr w:type="spellEnd"/>
      <w:r>
        <w:rPr>
          <w:rFonts w:ascii="Times New Roman" w:eastAsia="Times New Roman" w:hAnsi="Times New Roman" w:cs="Times New Roman"/>
          <w:b/>
          <w:sz w:val="24"/>
          <w:szCs w:val="24"/>
        </w:rPr>
        <w:t xml:space="preserve"> compétences égales.</w:t>
      </w:r>
    </w:p>
    <w:p w14:paraId="66CCCC6A" w14:textId="77777777" w:rsidR="00C22F9C" w:rsidRDefault="00C22F9C">
      <w:pPr>
        <w:rPr>
          <w:rFonts w:ascii="Times New Roman" w:eastAsia="Times New Roman" w:hAnsi="Times New Roman" w:cs="Times New Roman"/>
          <w:b/>
          <w:sz w:val="24"/>
          <w:szCs w:val="24"/>
        </w:rPr>
      </w:pPr>
    </w:p>
    <w:p w14:paraId="2A613DDD" w14:textId="77777777" w:rsidR="00144CB1" w:rsidRDefault="00144CB1">
      <w:pPr>
        <w:rPr>
          <w:rFonts w:ascii="Times New Roman" w:eastAsia="Times New Roman" w:hAnsi="Times New Roman" w:cs="Times New Roman"/>
          <w:b/>
          <w:sz w:val="24"/>
          <w:szCs w:val="24"/>
        </w:rPr>
      </w:pPr>
    </w:p>
    <w:p w14:paraId="6F8F17D5" w14:textId="77777777" w:rsidR="00144CB1" w:rsidRDefault="00144CB1">
      <w:pPr>
        <w:rPr>
          <w:rFonts w:ascii="Times New Roman" w:eastAsia="Times New Roman" w:hAnsi="Times New Roman" w:cs="Times New Roman"/>
          <w:b/>
          <w:sz w:val="24"/>
          <w:szCs w:val="24"/>
        </w:rPr>
      </w:pPr>
    </w:p>
    <w:p w14:paraId="59CAF92A" w14:textId="77777777" w:rsidR="00C22F9C" w:rsidRDefault="00A8240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Seules les personnes dont la candidature est retenue seront contactées pour entrevue après étude de proposition technique et financière ;</w:t>
      </w:r>
    </w:p>
    <w:p w14:paraId="5AC5A75C" w14:textId="77777777" w:rsidR="00C22F9C" w:rsidRDefault="00C22F9C">
      <w:pPr>
        <w:rPr>
          <w:rFonts w:ascii="Arial" w:eastAsia="Arial" w:hAnsi="Arial" w:cs="Arial"/>
          <w:b/>
        </w:rPr>
      </w:pPr>
    </w:p>
    <w:p w14:paraId="6BB24BDC" w14:textId="77777777" w:rsidR="00C22F9C" w:rsidRDefault="00C22F9C">
      <w:pPr>
        <w:rPr>
          <w:rFonts w:ascii="Arial" w:eastAsia="Arial" w:hAnsi="Arial" w:cs="Arial"/>
          <w:b/>
        </w:rPr>
      </w:pPr>
    </w:p>
    <w:p w14:paraId="32153627" w14:textId="77777777" w:rsidR="00C22F9C" w:rsidRDefault="00A8240B" w:rsidP="00983E9F">
      <w:pPr>
        <w:spacing w:after="0"/>
        <w:rPr>
          <w:rFonts w:ascii="Arial" w:eastAsia="Arial" w:hAnsi="Arial" w:cs="Arial"/>
          <w:b/>
        </w:rPr>
      </w:pPr>
      <w:r>
        <w:rPr>
          <w:rFonts w:ascii="Arial" w:eastAsia="Arial" w:hAnsi="Arial" w:cs="Arial"/>
          <w:b/>
        </w:rPr>
        <w:t xml:space="preserve">                   Elvire Eugène</w:t>
      </w:r>
    </w:p>
    <w:p w14:paraId="72CB3A20" w14:textId="4EB2CCE6" w:rsidR="00C22F9C" w:rsidRDefault="00A8240B" w:rsidP="00983E9F">
      <w:pPr>
        <w:spacing w:after="0"/>
        <w:rPr>
          <w:rFonts w:ascii="Arial" w:eastAsia="Arial" w:hAnsi="Arial" w:cs="Arial"/>
          <w:b/>
        </w:rPr>
      </w:pPr>
      <w:r>
        <w:rPr>
          <w:rFonts w:ascii="Arial" w:eastAsia="Arial" w:hAnsi="Arial" w:cs="Arial"/>
          <w:b/>
        </w:rPr>
        <w:t xml:space="preserve">         </w:t>
      </w:r>
      <w:r w:rsidR="00983E9F">
        <w:rPr>
          <w:rFonts w:ascii="Arial" w:eastAsia="Arial" w:hAnsi="Arial" w:cs="Arial"/>
          <w:b/>
        </w:rPr>
        <w:t xml:space="preserve">          </w:t>
      </w:r>
      <w:r>
        <w:rPr>
          <w:rFonts w:ascii="Arial" w:eastAsia="Arial" w:hAnsi="Arial" w:cs="Arial"/>
          <w:b/>
        </w:rPr>
        <w:t>Directrice Exécutive AFASDA</w:t>
      </w:r>
    </w:p>
    <w:p w14:paraId="7981D429" w14:textId="77777777" w:rsidR="00C22F9C" w:rsidRDefault="00C22F9C"/>
    <w:p w14:paraId="04B51086" w14:textId="77777777" w:rsidR="00C22F9C" w:rsidRDefault="00C22F9C">
      <w:pPr>
        <w:jc w:val="both"/>
        <w:rPr>
          <w:rFonts w:ascii="Arial Narrow" w:eastAsia="Arial Narrow" w:hAnsi="Arial Narrow" w:cs="Arial Narrow"/>
          <w:sz w:val="24"/>
          <w:szCs w:val="24"/>
        </w:rPr>
      </w:pPr>
    </w:p>
    <w:sectPr w:rsidR="00C22F9C">
      <w:headerReference w:type="default" r:id="rId8"/>
      <w:footerReference w:type="default" r:id="rId9"/>
      <w:pgSz w:w="12240" w:h="15840"/>
      <w:pgMar w:top="99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7C9A5" w14:textId="77777777" w:rsidR="00C93325" w:rsidRDefault="00C93325">
      <w:pPr>
        <w:spacing w:after="0" w:line="240" w:lineRule="auto"/>
      </w:pPr>
      <w:r>
        <w:separator/>
      </w:r>
    </w:p>
  </w:endnote>
  <w:endnote w:type="continuationSeparator" w:id="0">
    <w:p w14:paraId="56F15976" w14:textId="77777777" w:rsidR="00C93325" w:rsidRDefault="00C93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Twentieth Century">
    <w:altName w:val="Calibri"/>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Phetsarath OT">
    <w:altName w:val="DokChampa"/>
    <w:charset w:val="00"/>
    <w:family w:val="auto"/>
    <w:pitch w:val="variable"/>
    <w:sig w:usb0="A3002AAF" w:usb1="0000200A" w:usb2="00000000"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5BB14" w14:textId="77777777" w:rsidR="00C22F9C" w:rsidRDefault="00C22F9C">
    <w:pPr>
      <w:widowControl w:val="0"/>
      <w:pBdr>
        <w:top w:val="nil"/>
        <w:left w:val="nil"/>
        <w:bottom w:val="nil"/>
        <w:right w:val="nil"/>
        <w:between w:val="nil"/>
      </w:pBdr>
      <w:spacing w:after="0" w:line="276" w:lineRule="auto"/>
      <w:rPr>
        <w:rFonts w:ascii="Arial Narrow" w:eastAsia="Arial Narrow" w:hAnsi="Arial Narrow" w:cs="Arial Narrow"/>
        <w:sz w:val="24"/>
        <w:szCs w:val="24"/>
      </w:rPr>
    </w:pPr>
  </w:p>
  <w:tbl>
    <w:tblPr>
      <w:tblStyle w:val="1"/>
      <w:tblW w:w="9360" w:type="dxa"/>
      <w:tblBorders>
        <w:top w:val="nil"/>
        <w:left w:val="nil"/>
        <w:bottom w:val="nil"/>
        <w:right w:val="nil"/>
        <w:insideH w:val="nil"/>
        <w:insideV w:val="nil"/>
      </w:tblBorders>
      <w:tblLayout w:type="fixed"/>
      <w:tblLook w:val="0400" w:firstRow="0" w:lastRow="0" w:firstColumn="0" w:lastColumn="0" w:noHBand="0" w:noVBand="1"/>
    </w:tblPr>
    <w:tblGrid>
      <w:gridCol w:w="2340"/>
      <w:gridCol w:w="2340"/>
      <w:gridCol w:w="2340"/>
      <w:gridCol w:w="2340"/>
    </w:tblGrid>
    <w:tr w:rsidR="00C22F9C" w14:paraId="55ABE6A6" w14:textId="77777777">
      <w:tc>
        <w:tcPr>
          <w:tcW w:w="2340" w:type="dxa"/>
          <w:shd w:val="clear" w:color="auto" w:fill="FFFF00"/>
        </w:tcPr>
        <w:p w14:paraId="4736D1FF" w14:textId="77777777" w:rsidR="00C22F9C" w:rsidRDefault="00C22F9C">
          <w:pPr>
            <w:pBdr>
              <w:top w:val="nil"/>
              <w:left w:val="nil"/>
              <w:bottom w:val="nil"/>
              <w:right w:val="nil"/>
              <w:between w:val="nil"/>
            </w:pBdr>
            <w:tabs>
              <w:tab w:val="center" w:pos="4680"/>
              <w:tab w:val="right" w:pos="9360"/>
            </w:tabs>
            <w:rPr>
              <w:rFonts w:ascii="Verdana" w:eastAsia="Verdana" w:hAnsi="Verdana" w:cs="Verdana"/>
              <w:b/>
              <w:color w:val="009999"/>
              <w:sz w:val="18"/>
              <w:szCs w:val="18"/>
            </w:rPr>
          </w:pPr>
        </w:p>
      </w:tc>
      <w:tc>
        <w:tcPr>
          <w:tcW w:w="2340" w:type="dxa"/>
          <w:shd w:val="clear" w:color="auto" w:fill="FFC000"/>
        </w:tcPr>
        <w:p w14:paraId="1D22F47D" w14:textId="77777777" w:rsidR="00C22F9C" w:rsidRDefault="00C22F9C">
          <w:pPr>
            <w:pBdr>
              <w:top w:val="nil"/>
              <w:left w:val="nil"/>
              <w:bottom w:val="nil"/>
              <w:right w:val="nil"/>
              <w:between w:val="nil"/>
            </w:pBdr>
            <w:tabs>
              <w:tab w:val="center" w:pos="4680"/>
              <w:tab w:val="right" w:pos="9360"/>
            </w:tabs>
            <w:rPr>
              <w:rFonts w:ascii="Verdana" w:eastAsia="Verdana" w:hAnsi="Verdana" w:cs="Verdana"/>
              <w:b/>
              <w:color w:val="009999"/>
              <w:sz w:val="18"/>
              <w:szCs w:val="18"/>
            </w:rPr>
          </w:pPr>
        </w:p>
      </w:tc>
      <w:tc>
        <w:tcPr>
          <w:tcW w:w="2340" w:type="dxa"/>
          <w:shd w:val="clear" w:color="auto" w:fill="33CCFF"/>
        </w:tcPr>
        <w:p w14:paraId="610A1282" w14:textId="77777777" w:rsidR="00C22F9C" w:rsidRDefault="00C22F9C">
          <w:pPr>
            <w:pBdr>
              <w:top w:val="nil"/>
              <w:left w:val="nil"/>
              <w:bottom w:val="nil"/>
              <w:right w:val="nil"/>
              <w:between w:val="nil"/>
            </w:pBdr>
            <w:tabs>
              <w:tab w:val="center" w:pos="4680"/>
              <w:tab w:val="right" w:pos="9360"/>
            </w:tabs>
            <w:rPr>
              <w:rFonts w:ascii="Verdana" w:eastAsia="Verdana" w:hAnsi="Verdana" w:cs="Verdana"/>
              <w:b/>
              <w:color w:val="009999"/>
              <w:sz w:val="18"/>
              <w:szCs w:val="18"/>
            </w:rPr>
          </w:pPr>
        </w:p>
      </w:tc>
      <w:tc>
        <w:tcPr>
          <w:tcW w:w="2340" w:type="dxa"/>
          <w:shd w:val="clear" w:color="auto" w:fill="778180"/>
        </w:tcPr>
        <w:p w14:paraId="5A7500C8" w14:textId="77777777" w:rsidR="00C22F9C" w:rsidRDefault="00C22F9C">
          <w:pPr>
            <w:pBdr>
              <w:top w:val="nil"/>
              <w:left w:val="nil"/>
              <w:bottom w:val="nil"/>
              <w:right w:val="nil"/>
              <w:between w:val="nil"/>
            </w:pBdr>
            <w:tabs>
              <w:tab w:val="center" w:pos="4680"/>
              <w:tab w:val="right" w:pos="9360"/>
            </w:tabs>
            <w:rPr>
              <w:rFonts w:ascii="Verdana" w:eastAsia="Verdana" w:hAnsi="Verdana" w:cs="Verdana"/>
              <w:b/>
              <w:color w:val="009999"/>
              <w:sz w:val="18"/>
              <w:szCs w:val="18"/>
            </w:rPr>
          </w:pPr>
        </w:p>
      </w:tc>
    </w:tr>
  </w:tbl>
  <w:p w14:paraId="3EBC6105" w14:textId="77777777" w:rsidR="00C22F9C" w:rsidRDefault="00A8240B">
    <w:pPr>
      <w:pBdr>
        <w:top w:val="nil"/>
        <w:left w:val="nil"/>
        <w:bottom w:val="nil"/>
        <w:right w:val="nil"/>
        <w:between w:val="nil"/>
      </w:pBdr>
      <w:tabs>
        <w:tab w:val="center" w:pos="4680"/>
        <w:tab w:val="right" w:pos="9360"/>
      </w:tabs>
      <w:spacing w:after="0" w:line="240" w:lineRule="auto"/>
      <w:jc w:val="center"/>
      <w:rPr>
        <w:rFonts w:ascii="Cambria" w:eastAsia="Cambria" w:hAnsi="Cambria" w:cs="Cambria"/>
        <w:b/>
        <w:color w:val="009999"/>
        <w:sz w:val="18"/>
        <w:szCs w:val="18"/>
      </w:rPr>
    </w:pPr>
    <w:r>
      <w:rPr>
        <w:rFonts w:ascii="Cambria" w:eastAsia="Cambria" w:hAnsi="Cambria" w:cs="Cambria"/>
        <w:b/>
        <w:color w:val="009999"/>
        <w:sz w:val="18"/>
        <w:szCs w:val="18"/>
      </w:rPr>
      <w:t>Penser en Femme d’Action – Agir en Femme de Pensée</w:t>
    </w:r>
  </w:p>
  <w:p w14:paraId="5BE2DA2D" w14:textId="77777777" w:rsidR="00C22F9C" w:rsidRDefault="00C22F9C">
    <w:pPr>
      <w:pBdr>
        <w:top w:val="nil"/>
        <w:left w:val="nil"/>
        <w:bottom w:val="nil"/>
        <w:right w:val="nil"/>
        <w:between w:val="nil"/>
      </w:pBdr>
      <w:tabs>
        <w:tab w:val="center" w:pos="4680"/>
        <w:tab w:val="right" w:pos="9360"/>
      </w:tabs>
      <w:spacing w:after="0" w:line="240" w:lineRule="auto"/>
      <w:rPr>
        <w:rFonts w:ascii="Verdana" w:eastAsia="Verdana" w:hAnsi="Verdana" w:cs="Verdana"/>
        <w:b/>
        <w:color w:val="009999"/>
        <w:sz w:val="18"/>
        <w:szCs w:val="18"/>
      </w:rPr>
    </w:pPr>
  </w:p>
  <w:p w14:paraId="28D8D6A0" w14:textId="77777777" w:rsidR="00C22F9C" w:rsidRDefault="00C22F9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3D5F3" w14:textId="77777777" w:rsidR="00C93325" w:rsidRDefault="00C93325">
      <w:pPr>
        <w:spacing w:after="0" w:line="240" w:lineRule="auto"/>
      </w:pPr>
      <w:r>
        <w:separator/>
      </w:r>
    </w:p>
  </w:footnote>
  <w:footnote w:type="continuationSeparator" w:id="0">
    <w:p w14:paraId="12E17EBA" w14:textId="77777777" w:rsidR="00C93325" w:rsidRDefault="00C933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B8848" w14:textId="77777777" w:rsidR="00DD37C0" w:rsidRDefault="00DD37C0" w:rsidP="00B3442E">
    <w:pPr>
      <w:pStyle w:val="Header"/>
      <w:rPr>
        <w:noProof/>
      </w:rPr>
    </w:pPr>
    <w:r>
      <w:rPr>
        <w:noProof/>
        <w:lang w:val="en-US"/>
      </w:rPr>
      <w:drawing>
        <wp:anchor distT="0" distB="0" distL="114300" distR="114300" simplePos="0" relativeHeight="251659776" behindDoc="0" locked="0" layoutInCell="1" allowOverlap="1" wp14:anchorId="6065FF0B" wp14:editId="3DF25CAC">
          <wp:simplePos x="0" y="0"/>
          <wp:positionH relativeFrom="margin">
            <wp:align>center</wp:align>
          </wp:positionH>
          <wp:positionV relativeFrom="paragraph">
            <wp:posOffset>-387985</wp:posOffset>
          </wp:positionV>
          <wp:extent cx="982980" cy="928220"/>
          <wp:effectExtent l="0" t="0" r="762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82980" cy="928220"/>
                  </a:xfrm>
                  <a:prstGeom prst="rect">
                    <a:avLst/>
                  </a:prstGeom>
                  <a:noFill/>
                </pic:spPr>
              </pic:pic>
            </a:graphicData>
          </a:graphic>
          <wp14:sizeRelH relativeFrom="page">
            <wp14:pctWidth>0</wp14:pctWidth>
          </wp14:sizeRelH>
          <wp14:sizeRelV relativeFrom="page">
            <wp14:pctHeight>0</wp14:pctHeight>
          </wp14:sizeRelV>
        </wp:anchor>
      </w:drawing>
    </w:r>
    <w:r w:rsidR="00B3442E">
      <w:rPr>
        <w:noProof/>
        <w:lang w:val="en-US"/>
      </w:rPr>
      <w:drawing>
        <wp:anchor distT="0" distB="0" distL="114300" distR="114300" simplePos="0" relativeHeight="251657728" behindDoc="0" locked="0" layoutInCell="1" allowOverlap="1" wp14:anchorId="7734FC77" wp14:editId="4A17400A">
          <wp:simplePos x="0" y="0"/>
          <wp:positionH relativeFrom="column">
            <wp:posOffset>4984750</wp:posOffset>
          </wp:positionH>
          <wp:positionV relativeFrom="paragraph">
            <wp:posOffset>-158750</wp:posOffset>
          </wp:positionV>
          <wp:extent cx="1662430" cy="495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2430" cy="495300"/>
                  </a:xfrm>
                  <a:prstGeom prst="rect">
                    <a:avLst/>
                  </a:prstGeom>
                  <a:noFill/>
                </pic:spPr>
              </pic:pic>
            </a:graphicData>
          </a:graphic>
        </wp:anchor>
      </w:drawing>
    </w:r>
    <w:r w:rsidR="00B3442E">
      <w:rPr>
        <w:noProof/>
      </w:rPr>
      <w:t xml:space="preserve">                                                                                         </w:t>
    </w:r>
  </w:p>
  <w:p w14:paraId="7ADAFA58" w14:textId="79481582" w:rsidR="003D64A1" w:rsidRDefault="003D64A1" w:rsidP="00B3442E">
    <w:pPr>
      <w:pStyle w:val="Header"/>
    </w:pPr>
    <w:r w:rsidRPr="00862487">
      <w:rPr>
        <w:rFonts w:ascii="Phetsarath OT" w:hAnsi="Phetsarath OT" w:cs="Phetsarath OT"/>
        <w:bCs/>
        <w:noProof/>
        <w:lang w:val="en-US"/>
      </w:rPr>
      <w:drawing>
        <wp:anchor distT="0" distB="0" distL="114300" distR="114300" simplePos="0" relativeHeight="251655680" behindDoc="1" locked="1" layoutInCell="1" allowOverlap="1" wp14:anchorId="3D3F874B" wp14:editId="39DF492D">
          <wp:simplePos x="0" y="0"/>
          <wp:positionH relativeFrom="margin">
            <wp:posOffset>-425450</wp:posOffset>
          </wp:positionH>
          <wp:positionV relativeFrom="page">
            <wp:posOffset>247650</wp:posOffset>
          </wp:positionV>
          <wp:extent cx="1002665" cy="822325"/>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1002665" cy="8223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120F7"/>
    <w:multiLevelType w:val="hybridMultilevel"/>
    <w:tmpl w:val="7402F41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7DF49AA8">
      <w:start w:val="1"/>
      <w:numFmt w:val="bullet"/>
      <w:lvlText w:val="-"/>
      <w:lvlJc w:val="left"/>
      <w:pPr>
        <w:ind w:left="720" w:hanging="360"/>
      </w:pPr>
      <w:rPr>
        <w:rFonts w:ascii="Arial" w:eastAsia="Calibr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8E3A88"/>
    <w:multiLevelType w:val="hybridMultilevel"/>
    <w:tmpl w:val="526A4408"/>
    <w:lvl w:ilvl="0" w:tplc="6C963BB4">
      <w:start w:val="1"/>
      <w:numFmt w:val="bullet"/>
      <w:lvlText w:val="✔"/>
      <w:lvlJc w:val="left"/>
      <w:pPr>
        <w:ind w:left="1500" w:hanging="360"/>
      </w:pPr>
      <w:rPr>
        <w:rFonts w:ascii="Noto Sans Symbols" w:eastAsia="Noto Sans Symbols" w:hAnsi="Noto Sans Symbols" w:cs="Noto Sans Symbols"/>
      </w:rPr>
    </w:lvl>
    <w:lvl w:ilvl="1" w:tplc="D31C8264">
      <w:start w:val="1"/>
      <w:numFmt w:val="bullet"/>
      <w:lvlText w:val="o"/>
      <w:lvlJc w:val="left"/>
      <w:pPr>
        <w:ind w:left="2220" w:hanging="360"/>
      </w:pPr>
      <w:rPr>
        <w:rFonts w:ascii="Courier New" w:eastAsia="Courier New" w:hAnsi="Courier New" w:cs="Courier New"/>
      </w:rPr>
    </w:lvl>
    <w:lvl w:ilvl="2" w:tplc="9822ED26">
      <w:start w:val="1"/>
      <w:numFmt w:val="bullet"/>
      <w:lvlText w:val="▪"/>
      <w:lvlJc w:val="left"/>
      <w:pPr>
        <w:ind w:left="2940" w:hanging="360"/>
      </w:pPr>
      <w:rPr>
        <w:rFonts w:ascii="Noto Sans Symbols" w:eastAsia="Noto Sans Symbols" w:hAnsi="Noto Sans Symbols" w:cs="Noto Sans Symbols"/>
      </w:rPr>
    </w:lvl>
    <w:lvl w:ilvl="3" w:tplc="4A8AFF9C">
      <w:start w:val="1"/>
      <w:numFmt w:val="bullet"/>
      <w:lvlText w:val="●"/>
      <w:lvlJc w:val="left"/>
      <w:pPr>
        <w:ind w:left="3660" w:hanging="360"/>
      </w:pPr>
      <w:rPr>
        <w:rFonts w:ascii="Noto Sans Symbols" w:eastAsia="Noto Sans Symbols" w:hAnsi="Noto Sans Symbols" w:cs="Noto Sans Symbols"/>
      </w:rPr>
    </w:lvl>
    <w:lvl w:ilvl="4" w:tplc="A86233E6">
      <w:start w:val="1"/>
      <w:numFmt w:val="bullet"/>
      <w:lvlText w:val="o"/>
      <w:lvlJc w:val="left"/>
      <w:pPr>
        <w:ind w:left="4380" w:hanging="360"/>
      </w:pPr>
      <w:rPr>
        <w:rFonts w:ascii="Courier New" w:eastAsia="Courier New" w:hAnsi="Courier New" w:cs="Courier New"/>
      </w:rPr>
    </w:lvl>
    <w:lvl w:ilvl="5" w:tplc="5C5EEA3A">
      <w:start w:val="1"/>
      <w:numFmt w:val="bullet"/>
      <w:lvlText w:val="▪"/>
      <w:lvlJc w:val="left"/>
      <w:pPr>
        <w:ind w:left="5100" w:hanging="360"/>
      </w:pPr>
      <w:rPr>
        <w:rFonts w:ascii="Noto Sans Symbols" w:eastAsia="Noto Sans Symbols" w:hAnsi="Noto Sans Symbols" w:cs="Noto Sans Symbols"/>
      </w:rPr>
    </w:lvl>
    <w:lvl w:ilvl="6" w:tplc="7958A23A">
      <w:start w:val="1"/>
      <w:numFmt w:val="bullet"/>
      <w:lvlText w:val="●"/>
      <w:lvlJc w:val="left"/>
      <w:pPr>
        <w:ind w:left="5820" w:hanging="360"/>
      </w:pPr>
      <w:rPr>
        <w:rFonts w:ascii="Noto Sans Symbols" w:eastAsia="Noto Sans Symbols" w:hAnsi="Noto Sans Symbols" w:cs="Noto Sans Symbols"/>
      </w:rPr>
    </w:lvl>
    <w:lvl w:ilvl="7" w:tplc="03E23E22">
      <w:start w:val="1"/>
      <w:numFmt w:val="bullet"/>
      <w:lvlText w:val="o"/>
      <w:lvlJc w:val="left"/>
      <w:pPr>
        <w:ind w:left="6540" w:hanging="360"/>
      </w:pPr>
      <w:rPr>
        <w:rFonts w:ascii="Courier New" w:eastAsia="Courier New" w:hAnsi="Courier New" w:cs="Courier New"/>
      </w:rPr>
    </w:lvl>
    <w:lvl w:ilvl="8" w:tplc="241494EC">
      <w:start w:val="1"/>
      <w:numFmt w:val="bullet"/>
      <w:lvlText w:val="▪"/>
      <w:lvlJc w:val="left"/>
      <w:pPr>
        <w:ind w:left="7260" w:hanging="360"/>
      </w:pPr>
      <w:rPr>
        <w:rFonts w:ascii="Noto Sans Symbols" w:eastAsia="Noto Sans Symbols" w:hAnsi="Noto Sans Symbols" w:cs="Noto Sans Symbols"/>
      </w:rPr>
    </w:lvl>
  </w:abstractNum>
  <w:abstractNum w:abstractNumId="2">
    <w:nsid w:val="135D7970"/>
    <w:multiLevelType w:val="hybridMultilevel"/>
    <w:tmpl w:val="2B944FB2"/>
    <w:lvl w:ilvl="0" w:tplc="E284A5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5861AA"/>
    <w:multiLevelType w:val="multilevel"/>
    <w:tmpl w:val="E7B222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26D1673D"/>
    <w:multiLevelType w:val="multilevel"/>
    <w:tmpl w:val="9EAE14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97A62C1"/>
    <w:multiLevelType w:val="multilevel"/>
    <w:tmpl w:val="ADD2D0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0C826E5"/>
    <w:multiLevelType w:val="multilevel"/>
    <w:tmpl w:val="AFD891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2302085"/>
    <w:multiLevelType w:val="multilevel"/>
    <w:tmpl w:val="83083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36C016EB"/>
    <w:multiLevelType w:val="multilevel"/>
    <w:tmpl w:val="BCC689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3CFB1BB4"/>
    <w:multiLevelType w:val="multilevel"/>
    <w:tmpl w:val="EA1A8A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DFC34A6"/>
    <w:multiLevelType w:val="hybridMultilevel"/>
    <w:tmpl w:val="00E82802"/>
    <w:lvl w:ilvl="0" w:tplc="CCC89222">
      <w:start w:val="1"/>
      <w:numFmt w:val="bullet"/>
      <w:lvlText w:val="●"/>
      <w:lvlJc w:val="left"/>
      <w:pPr>
        <w:ind w:left="720" w:hanging="360"/>
      </w:pPr>
      <w:rPr>
        <w:rFonts w:ascii="Noto Sans Symbols" w:eastAsia="Noto Sans Symbols" w:hAnsi="Noto Sans Symbols" w:cs="Noto Sans Symbols"/>
      </w:rPr>
    </w:lvl>
    <w:lvl w:ilvl="1" w:tplc="CF0E0890">
      <w:start w:val="1"/>
      <w:numFmt w:val="bullet"/>
      <w:lvlText w:val="o"/>
      <w:lvlJc w:val="left"/>
      <w:pPr>
        <w:ind w:left="1440" w:hanging="360"/>
      </w:pPr>
      <w:rPr>
        <w:rFonts w:ascii="Courier New" w:eastAsia="Courier New" w:hAnsi="Courier New" w:cs="Courier New"/>
      </w:rPr>
    </w:lvl>
    <w:lvl w:ilvl="2" w:tplc="CF929D90">
      <w:start w:val="1"/>
      <w:numFmt w:val="bullet"/>
      <w:lvlText w:val="▪"/>
      <w:lvlJc w:val="left"/>
      <w:pPr>
        <w:ind w:left="2160" w:hanging="360"/>
      </w:pPr>
      <w:rPr>
        <w:rFonts w:ascii="Noto Sans Symbols" w:eastAsia="Noto Sans Symbols" w:hAnsi="Noto Sans Symbols" w:cs="Noto Sans Symbols"/>
      </w:rPr>
    </w:lvl>
    <w:lvl w:ilvl="3" w:tplc="2F38C9CC">
      <w:start w:val="1"/>
      <w:numFmt w:val="bullet"/>
      <w:lvlText w:val="●"/>
      <w:lvlJc w:val="left"/>
      <w:pPr>
        <w:ind w:left="2880" w:hanging="360"/>
      </w:pPr>
      <w:rPr>
        <w:rFonts w:ascii="Noto Sans Symbols" w:eastAsia="Noto Sans Symbols" w:hAnsi="Noto Sans Symbols" w:cs="Noto Sans Symbols"/>
      </w:rPr>
    </w:lvl>
    <w:lvl w:ilvl="4" w:tplc="3AD8BA7A">
      <w:start w:val="1"/>
      <w:numFmt w:val="bullet"/>
      <w:lvlText w:val="o"/>
      <w:lvlJc w:val="left"/>
      <w:pPr>
        <w:ind w:left="3600" w:hanging="360"/>
      </w:pPr>
      <w:rPr>
        <w:rFonts w:ascii="Courier New" w:eastAsia="Courier New" w:hAnsi="Courier New" w:cs="Courier New"/>
      </w:rPr>
    </w:lvl>
    <w:lvl w:ilvl="5" w:tplc="8ED2B258">
      <w:start w:val="1"/>
      <w:numFmt w:val="bullet"/>
      <w:lvlText w:val="▪"/>
      <w:lvlJc w:val="left"/>
      <w:pPr>
        <w:ind w:left="4320" w:hanging="360"/>
      </w:pPr>
      <w:rPr>
        <w:rFonts w:ascii="Noto Sans Symbols" w:eastAsia="Noto Sans Symbols" w:hAnsi="Noto Sans Symbols" w:cs="Noto Sans Symbols"/>
      </w:rPr>
    </w:lvl>
    <w:lvl w:ilvl="6" w:tplc="7A685C3A">
      <w:start w:val="1"/>
      <w:numFmt w:val="bullet"/>
      <w:lvlText w:val="●"/>
      <w:lvlJc w:val="left"/>
      <w:pPr>
        <w:ind w:left="5040" w:hanging="360"/>
      </w:pPr>
      <w:rPr>
        <w:rFonts w:ascii="Noto Sans Symbols" w:eastAsia="Noto Sans Symbols" w:hAnsi="Noto Sans Symbols" w:cs="Noto Sans Symbols"/>
      </w:rPr>
    </w:lvl>
    <w:lvl w:ilvl="7" w:tplc="7E5E6E30">
      <w:start w:val="1"/>
      <w:numFmt w:val="bullet"/>
      <w:lvlText w:val="o"/>
      <w:lvlJc w:val="left"/>
      <w:pPr>
        <w:ind w:left="5760" w:hanging="360"/>
      </w:pPr>
      <w:rPr>
        <w:rFonts w:ascii="Courier New" w:eastAsia="Courier New" w:hAnsi="Courier New" w:cs="Courier New"/>
      </w:rPr>
    </w:lvl>
    <w:lvl w:ilvl="8" w:tplc="B51C6CC8">
      <w:start w:val="1"/>
      <w:numFmt w:val="bullet"/>
      <w:lvlText w:val="▪"/>
      <w:lvlJc w:val="left"/>
      <w:pPr>
        <w:ind w:left="6480" w:hanging="360"/>
      </w:pPr>
      <w:rPr>
        <w:rFonts w:ascii="Noto Sans Symbols" w:eastAsia="Noto Sans Symbols" w:hAnsi="Noto Sans Symbols" w:cs="Noto Sans Symbols"/>
      </w:rPr>
    </w:lvl>
  </w:abstractNum>
  <w:abstractNum w:abstractNumId="11">
    <w:nsid w:val="3F2A5E1F"/>
    <w:multiLevelType w:val="multilevel"/>
    <w:tmpl w:val="085617B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418B3AA6"/>
    <w:multiLevelType w:val="multilevel"/>
    <w:tmpl w:val="4768AC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1A52490"/>
    <w:multiLevelType w:val="hybridMultilevel"/>
    <w:tmpl w:val="848A4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3A649B"/>
    <w:multiLevelType w:val="multilevel"/>
    <w:tmpl w:val="CBB6B544"/>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15">
    <w:nsid w:val="4F5D7914"/>
    <w:multiLevelType w:val="hybridMultilevel"/>
    <w:tmpl w:val="B14EAF9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7D4BE8"/>
    <w:multiLevelType w:val="hybridMultilevel"/>
    <w:tmpl w:val="C95666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490CBB"/>
    <w:multiLevelType w:val="multilevel"/>
    <w:tmpl w:val="30E2B4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nsid w:val="6E3D669F"/>
    <w:multiLevelType w:val="hybridMultilevel"/>
    <w:tmpl w:val="43BA8FB4"/>
    <w:lvl w:ilvl="0" w:tplc="DCE49442">
      <w:start w:val="1"/>
      <w:numFmt w:val="lowerLetter"/>
      <w:lvlText w:val="%1)"/>
      <w:lvlJc w:val="left"/>
      <w:pPr>
        <w:ind w:left="720" w:hanging="360"/>
      </w:pPr>
    </w:lvl>
    <w:lvl w:ilvl="1" w:tplc="2438D0D0">
      <w:start w:val="1"/>
      <w:numFmt w:val="lowerLetter"/>
      <w:lvlText w:val="%2."/>
      <w:lvlJc w:val="left"/>
      <w:pPr>
        <w:ind w:left="1440" w:hanging="360"/>
      </w:pPr>
    </w:lvl>
    <w:lvl w:ilvl="2" w:tplc="4656CEA8">
      <w:start w:val="1"/>
      <w:numFmt w:val="lowerRoman"/>
      <w:lvlText w:val="%3."/>
      <w:lvlJc w:val="right"/>
      <w:pPr>
        <w:ind w:left="2160" w:hanging="180"/>
      </w:pPr>
    </w:lvl>
    <w:lvl w:ilvl="3" w:tplc="B9580BB8">
      <w:start w:val="1"/>
      <w:numFmt w:val="decimal"/>
      <w:lvlText w:val="%4."/>
      <w:lvlJc w:val="left"/>
      <w:pPr>
        <w:ind w:left="2880" w:hanging="360"/>
      </w:pPr>
    </w:lvl>
    <w:lvl w:ilvl="4" w:tplc="EFCE31F2">
      <w:start w:val="1"/>
      <w:numFmt w:val="lowerLetter"/>
      <w:lvlText w:val="%5."/>
      <w:lvlJc w:val="left"/>
      <w:pPr>
        <w:ind w:left="3600" w:hanging="360"/>
      </w:pPr>
    </w:lvl>
    <w:lvl w:ilvl="5" w:tplc="673A84D0">
      <w:start w:val="1"/>
      <w:numFmt w:val="lowerRoman"/>
      <w:lvlText w:val="%6."/>
      <w:lvlJc w:val="right"/>
      <w:pPr>
        <w:ind w:left="4320" w:hanging="180"/>
      </w:pPr>
    </w:lvl>
    <w:lvl w:ilvl="6" w:tplc="B1547B5C">
      <w:start w:val="1"/>
      <w:numFmt w:val="decimal"/>
      <w:lvlText w:val="%7."/>
      <w:lvlJc w:val="left"/>
      <w:pPr>
        <w:ind w:left="5040" w:hanging="360"/>
      </w:pPr>
    </w:lvl>
    <w:lvl w:ilvl="7" w:tplc="FFEA486E">
      <w:start w:val="1"/>
      <w:numFmt w:val="lowerLetter"/>
      <w:lvlText w:val="%8."/>
      <w:lvlJc w:val="left"/>
      <w:pPr>
        <w:ind w:left="5760" w:hanging="360"/>
      </w:pPr>
    </w:lvl>
    <w:lvl w:ilvl="8" w:tplc="05EEEFB4">
      <w:start w:val="1"/>
      <w:numFmt w:val="lowerRoman"/>
      <w:lvlText w:val="%9."/>
      <w:lvlJc w:val="right"/>
      <w:pPr>
        <w:ind w:left="6480" w:hanging="180"/>
      </w:pPr>
    </w:lvl>
  </w:abstractNum>
  <w:abstractNum w:abstractNumId="19">
    <w:nsid w:val="73E314B1"/>
    <w:multiLevelType w:val="multilevel"/>
    <w:tmpl w:val="21506D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790177FA"/>
    <w:multiLevelType w:val="multilevel"/>
    <w:tmpl w:val="2312DC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20"/>
  </w:num>
  <w:num w:numId="3">
    <w:abstractNumId w:val="1"/>
  </w:num>
  <w:num w:numId="4">
    <w:abstractNumId w:val="7"/>
  </w:num>
  <w:num w:numId="5">
    <w:abstractNumId w:val="8"/>
  </w:num>
  <w:num w:numId="6">
    <w:abstractNumId w:val="17"/>
  </w:num>
  <w:num w:numId="7">
    <w:abstractNumId w:val="6"/>
  </w:num>
  <w:num w:numId="8">
    <w:abstractNumId w:val="10"/>
  </w:num>
  <w:num w:numId="9">
    <w:abstractNumId w:val="3"/>
  </w:num>
  <w:num w:numId="10">
    <w:abstractNumId w:val="18"/>
  </w:num>
  <w:num w:numId="11">
    <w:abstractNumId w:val="12"/>
  </w:num>
  <w:num w:numId="12">
    <w:abstractNumId w:val="9"/>
  </w:num>
  <w:num w:numId="13">
    <w:abstractNumId w:val="4"/>
  </w:num>
  <w:num w:numId="14">
    <w:abstractNumId w:val="5"/>
  </w:num>
  <w:num w:numId="15">
    <w:abstractNumId w:val="14"/>
  </w:num>
  <w:num w:numId="16">
    <w:abstractNumId w:val="11"/>
  </w:num>
  <w:num w:numId="17">
    <w:abstractNumId w:val="0"/>
  </w:num>
  <w:num w:numId="18">
    <w:abstractNumId w:val="16"/>
  </w:num>
  <w:num w:numId="19">
    <w:abstractNumId w:val="2"/>
  </w:num>
  <w:num w:numId="20">
    <w:abstractNumId w:val="1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F9C"/>
    <w:rsid w:val="000106A3"/>
    <w:rsid w:val="00067028"/>
    <w:rsid w:val="000D4F9C"/>
    <w:rsid w:val="000E6720"/>
    <w:rsid w:val="00144CB1"/>
    <w:rsid w:val="0015600C"/>
    <w:rsid w:val="00167EA4"/>
    <w:rsid w:val="001C1D5D"/>
    <w:rsid w:val="00283723"/>
    <w:rsid w:val="00313C79"/>
    <w:rsid w:val="00343EE4"/>
    <w:rsid w:val="00385C48"/>
    <w:rsid w:val="003D64A1"/>
    <w:rsid w:val="00414498"/>
    <w:rsid w:val="00454ADC"/>
    <w:rsid w:val="00457993"/>
    <w:rsid w:val="00493293"/>
    <w:rsid w:val="004EE0DC"/>
    <w:rsid w:val="00561EFC"/>
    <w:rsid w:val="005B555E"/>
    <w:rsid w:val="005D12E0"/>
    <w:rsid w:val="0060775F"/>
    <w:rsid w:val="00631298"/>
    <w:rsid w:val="0065798A"/>
    <w:rsid w:val="006D444D"/>
    <w:rsid w:val="006E2BE9"/>
    <w:rsid w:val="0070F1E3"/>
    <w:rsid w:val="00741E2A"/>
    <w:rsid w:val="00745A12"/>
    <w:rsid w:val="008018B2"/>
    <w:rsid w:val="008068F1"/>
    <w:rsid w:val="00871642"/>
    <w:rsid w:val="009316B6"/>
    <w:rsid w:val="009614D9"/>
    <w:rsid w:val="00983E9F"/>
    <w:rsid w:val="00991DDC"/>
    <w:rsid w:val="00A8240B"/>
    <w:rsid w:val="00B23772"/>
    <w:rsid w:val="00B27AE2"/>
    <w:rsid w:val="00B3442E"/>
    <w:rsid w:val="00BD0B31"/>
    <w:rsid w:val="00C0608B"/>
    <w:rsid w:val="00C10B29"/>
    <w:rsid w:val="00C22F9C"/>
    <w:rsid w:val="00C26214"/>
    <w:rsid w:val="00C92883"/>
    <w:rsid w:val="00C93325"/>
    <w:rsid w:val="00CA1545"/>
    <w:rsid w:val="00CC562D"/>
    <w:rsid w:val="00CF6D7B"/>
    <w:rsid w:val="00DB3F7D"/>
    <w:rsid w:val="00DC190F"/>
    <w:rsid w:val="00DD37C0"/>
    <w:rsid w:val="00DE3DBB"/>
    <w:rsid w:val="00DE7144"/>
    <w:rsid w:val="00E3769F"/>
    <w:rsid w:val="00E80F10"/>
    <w:rsid w:val="00EC0B88"/>
    <w:rsid w:val="00EC2D06"/>
    <w:rsid w:val="00F14639"/>
    <w:rsid w:val="00FD00ED"/>
    <w:rsid w:val="010CBDA3"/>
    <w:rsid w:val="035F0D20"/>
    <w:rsid w:val="03B9A63E"/>
    <w:rsid w:val="06ADD910"/>
    <w:rsid w:val="06E7BC46"/>
    <w:rsid w:val="07445198"/>
    <w:rsid w:val="0789EBAB"/>
    <w:rsid w:val="088D1761"/>
    <w:rsid w:val="0C68161C"/>
    <w:rsid w:val="0C7C3063"/>
    <w:rsid w:val="0E1800C4"/>
    <w:rsid w:val="0F27B200"/>
    <w:rsid w:val="11246230"/>
    <w:rsid w:val="116FD8CA"/>
    <w:rsid w:val="13798DCF"/>
    <w:rsid w:val="13983DC9"/>
    <w:rsid w:val="14D1DEDD"/>
    <w:rsid w:val="16B68877"/>
    <w:rsid w:val="16E4B7B3"/>
    <w:rsid w:val="189A76E6"/>
    <w:rsid w:val="1A81CE9A"/>
    <w:rsid w:val="1AE395DF"/>
    <w:rsid w:val="1AF9AF5A"/>
    <w:rsid w:val="1BC260F0"/>
    <w:rsid w:val="1C1B1725"/>
    <w:rsid w:val="1D3EF188"/>
    <w:rsid w:val="1E2AFD60"/>
    <w:rsid w:val="20B6A276"/>
    <w:rsid w:val="21226C90"/>
    <w:rsid w:val="213E9C17"/>
    <w:rsid w:val="23B9CF86"/>
    <w:rsid w:val="267B0634"/>
    <w:rsid w:val="27BDE248"/>
    <w:rsid w:val="2955B69A"/>
    <w:rsid w:val="2A214168"/>
    <w:rsid w:val="2BB6AEFE"/>
    <w:rsid w:val="2C21D1C7"/>
    <w:rsid w:val="2CA06333"/>
    <w:rsid w:val="2E5F40BA"/>
    <w:rsid w:val="3132C8A6"/>
    <w:rsid w:val="33127D26"/>
    <w:rsid w:val="33D24719"/>
    <w:rsid w:val="34266C7C"/>
    <w:rsid w:val="35053BDD"/>
    <w:rsid w:val="3538C5FC"/>
    <w:rsid w:val="35E432B5"/>
    <w:rsid w:val="38163A7A"/>
    <w:rsid w:val="387999B2"/>
    <w:rsid w:val="38B54D73"/>
    <w:rsid w:val="3D4FE109"/>
    <w:rsid w:val="3EAB3E56"/>
    <w:rsid w:val="3EBF5E39"/>
    <w:rsid w:val="40082402"/>
    <w:rsid w:val="4193692B"/>
    <w:rsid w:val="42E5BF28"/>
    <w:rsid w:val="43363A0A"/>
    <w:rsid w:val="4556E70F"/>
    <w:rsid w:val="46785C17"/>
    <w:rsid w:val="47368CE9"/>
    <w:rsid w:val="487108F8"/>
    <w:rsid w:val="48BAC8A2"/>
    <w:rsid w:val="48DC7AC5"/>
    <w:rsid w:val="48F6E160"/>
    <w:rsid w:val="4978AFE2"/>
    <w:rsid w:val="49F9166B"/>
    <w:rsid w:val="4A170498"/>
    <w:rsid w:val="4B557F83"/>
    <w:rsid w:val="4B762FC4"/>
    <w:rsid w:val="4BD91AA5"/>
    <w:rsid w:val="4C509EBC"/>
    <w:rsid w:val="4E8D2045"/>
    <w:rsid w:val="528B2809"/>
    <w:rsid w:val="531A0E15"/>
    <w:rsid w:val="5376FD76"/>
    <w:rsid w:val="54622376"/>
    <w:rsid w:val="579F5A09"/>
    <w:rsid w:val="59CC8FFE"/>
    <w:rsid w:val="5B515333"/>
    <w:rsid w:val="5C705D6D"/>
    <w:rsid w:val="5D7631F3"/>
    <w:rsid w:val="5E5F3389"/>
    <w:rsid w:val="5E6A96FC"/>
    <w:rsid w:val="5E7DD5A4"/>
    <w:rsid w:val="627B3EBD"/>
    <w:rsid w:val="6283BC88"/>
    <w:rsid w:val="653A69E1"/>
    <w:rsid w:val="657EEB59"/>
    <w:rsid w:val="6583E9BF"/>
    <w:rsid w:val="66364198"/>
    <w:rsid w:val="6670BB4B"/>
    <w:rsid w:val="66F17CC6"/>
    <w:rsid w:val="671FBA20"/>
    <w:rsid w:val="6CDFFCCF"/>
    <w:rsid w:val="6D22C8AF"/>
    <w:rsid w:val="6D8900B6"/>
    <w:rsid w:val="6E58AF3A"/>
    <w:rsid w:val="6F4E2C7C"/>
    <w:rsid w:val="6F6E9404"/>
    <w:rsid w:val="6FD9B3B4"/>
    <w:rsid w:val="75C01C67"/>
    <w:rsid w:val="7C391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1CFD3"/>
  <w15:docId w15:val="{63A73E40-B50A-4521-967B-17A2E00F3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Ind w:w="0" w:type="dxa"/>
      <w:tblCellMar>
        <w:top w:w="0" w:type="dxa"/>
        <w:left w:w="115" w:type="dxa"/>
        <w:bottom w:w="0" w:type="dxa"/>
        <w:right w:w="115" w:type="dxa"/>
      </w:tblCellMar>
    </w:tblPr>
  </w:style>
  <w:style w:type="table" w:customStyle="1" w:styleId="1">
    <w:name w:val="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D4F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F9C"/>
    <w:rPr>
      <w:rFonts w:ascii="Segoe UI" w:hAnsi="Segoe UI" w:cs="Segoe UI"/>
      <w:sz w:val="18"/>
      <w:szCs w:val="18"/>
    </w:rPr>
  </w:style>
  <w:style w:type="character" w:styleId="CommentReference">
    <w:name w:val="annotation reference"/>
    <w:basedOn w:val="DefaultParagraphFont"/>
    <w:uiPriority w:val="99"/>
    <w:semiHidden/>
    <w:unhideWhenUsed/>
    <w:rsid w:val="00CC562D"/>
    <w:rPr>
      <w:sz w:val="16"/>
      <w:szCs w:val="16"/>
    </w:rPr>
  </w:style>
  <w:style w:type="paragraph" w:styleId="CommentText">
    <w:name w:val="annotation text"/>
    <w:basedOn w:val="Normal"/>
    <w:link w:val="CommentTextChar"/>
    <w:uiPriority w:val="99"/>
    <w:semiHidden/>
    <w:unhideWhenUsed/>
    <w:rsid w:val="00CC562D"/>
    <w:pPr>
      <w:spacing w:line="240" w:lineRule="auto"/>
    </w:pPr>
    <w:rPr>
      <w:sz w:val="20"/>
      <w:szCs w:val="20"/>
    </w:rPr>
  </w:style>
  <w:style w:type="character" w:customStyle="1" w:styleId="CommentTextChar">
    <w:name w:val="Comment Text Char"/>
    <w:basedOn w:val="DefaultParagraphFont"/>
    <w:link w:val="CommentText"/>
    <w:uiPriority w:val="99"/>
    <w:semiHidden/>
    <w:rsid w:val="00CC562D"/>
    <w:rPr>
      <w:sz w:val="20"/>
      <w:szCs w:val="20"/>
    </w:rPr>
  </w:style>
  <w:style w:type="paragraph" w:styleId="CommentSubject">
    <w:name w:val="annotation subject"/>
    <w:basedOn w:val="CommentText"/>
    <w:next w:val="CommentText"/>
    <w:link w:val="CommentSubjectChar"/>
    <w:uiPriority w:val="99"/>
    <w:semiHidden/>
    <w:unhideWhenUsed/>
    <w:rsid w:val="00CC562D"/>
    <w:rPr>
      <w:b/>
      <w:bCs/>
    </w:rPr>
  </w:style>
  <w:style w:type="character" w:customStyle="1" w:styleId="CommentSubjectChar">
    <w:name w:val="Comment Subject Char"/>
    <w:basedOn w:val="CommentTextChar"/>
    <w:link w:val="CommentSubject"/>
    <w:uiPriority w:val="99"/>
    <w:semiHidden/>
    <w:rsid w:val="00CC562D"/>
    <w:rPr>
      <w:b/>
      <w:bCs/>
      <w:sz w:val="20"/>
      <w:szCs w:val="20"/>
    </w:rPr>
  </w:style>
  <w:style w:type="paragraph" w:styleId="ListParagraph">
    <w:name w:val="List Paragraph"/>
    <w:basedOn w:val="Normal"/>
    <w:uiPriority w:val="34"/>
    <w:qFormat/>
    <w:rsid w:val="008068F1"/>
    <w:pPr>
      <w:ind w:left="720"/>
      <w:contextualSpacing/>
    </w:pPr>
  </w:style>
  <w:style w:type="paragraph" w:styleId="Header">
    <w:name w:val="header"/>
    <w:basedOn w:val="Normal"/>
    <w:link w:val="HeaderChar"/>
    <w:uiPriority w:val="99"/>
    <w:unhideWhenUsed/>
    <w:rsid w:val="00931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6B6"/>
  </w:style>
  <w:style w:type="paragraph" w:styleId="Footer">
    <w:name w:val="footer"/>
    <w:basedOn w:val="Normal"/>
    <w:link w:val="FooterChar"/>
    <w:uiPriority w:val="99"/>
    <w:unhideWhenUsed/>
    <w:rsid w:val="00931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6B6"/>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29D2F-2857-4957-9A98-F395CB93A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3120</Words>
  <Characters>17784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Manigat, Joane Fredelyne</dc:creator>
  <cp:keywords/>
  <dc:description/>
  <cp:lastModifiedBy>Microsoft account</cp:lastModifiedBy>
  <cp:revision>2</cp:revision>
  <cp:lastPrinted>2021-03-31T15:13:00Z</cp:lastPrinted>
  <dcterms:created xsi:type="dcterms:W3CDTF">2021-06-16T19:02:00Z</dcterms:created>
  <dcterms:modified xsi:type="dcterms:W3CDTF">2021-06-16T19:02:00Z</dcterms:modified>
</cp:coreProperties>
</file>