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AFAB" w14:textId="59A31D0F" w:rsidR="00744674" w:rsidRPr="00900BEE" w:rsidRDefault="00900BEE" w:rsidP="00900BEE">
      <w:pPr>
        <w:pStyle w:val="Title"/>
        <w:jc w:val="center"/>
        <w:rPr>
          <w:lang w:val="fr-BE"/>
        </w:rPr>
      </w:pPr>
      <w:r w:rsidRPr="00900BEE">
        <w:rPr>
          <w:lang w:val="fr-BE"/>
        </w:rPr>
        <w:t xml:space="preserve">Termes de Référence pour </w:t>
      </w:r>
      <w:r w:rsidR="00F80C0F">
        <w:rPr>
          <w:lang w:val="fr-BE"/>
        </w:rPr>
        <w:t>le recrutement d’un</w:t>
      </w:r>
      <w:r w:rsidR="00CC3B02">
        <w:rPr>
          <w:lang w:val="fr-BE"/>
        </w:rPr>
        <w:t>(e)</w:t>
      </w:r>
      <w:r w:rsidR="00F80C0F">
        <w:rPr>
          <w:lang w:val="fr-BE"/>
        </w:rPr>
        <w:t xml:space="preserve"> consultant</w:t>
      </w:r>
      <w:r w:rsidR="00CC3B02">
        <w:rPr>
          <w:lang w:val="fr-BE"/>
        </w:rPr>
        <w:t>(e)</w:t>
      </w:r>
      <w:r w:rsidR="00F80C0F">
        <w:rPr>
          <w:lang w:val="fr-BE"/>
        </w:rPr>
        <w:t xml:space="preserve"> en suivi &amp; évaluation </w:t>
      </w:r>
    </w:p>
    <w:p w14:paraId="150FF7AF" w14:textId="77777777" w:rsidR="00900BEE" w:rsidRDefault="00900BEE" w:rsidP="00744674">
      <w:pPr>
        <w:rPr>
          <w:lang w:val="fr-BE"/>
        </w:rPr>
      </w:pPr>
    </w:p>
    <w:p w14:paraId="209DAFC5" w14:textId="77777777" w:rsidR="00900BEE" w:rsidRPr="00900BEE" w:rsidRDefault="00900BEE" w:rsidP="00CD5358">
      <w:pPr>
        <w:pStyle w:val="Heading1"/>
      </w:pPr>
      <w:r>
        <w:t xml:space="preserve">Contexte </w:t>
      </w:r>
    </w:p>
    <w:p w14:paraId="5C6CDF13" w14:textId="77777777" w:rsidR="00900BEE" w:rsidRDefault="00900BEE" w:rsidP="00744674">
      <w:pPr>
        <w:rPr>
          <w:lang w:val="fr-BE"/>
        </w:rPr>
      </w:pPr>
    </w:p>
    <w:p w14:paraId="3EA65745" w14:textId="77777777" w:rsidR="001A6D1D" w:rsidRPr="009449AE" w:rsidRDefault="001A6D1D" w:rsidP="001A6D1D">
      <w:pPr>
        <w:jc w:val="both"/>
        <w:rPr>
          <w:rFonts w:ascii="Calibri" w:eastAsia="Calibri" w:hAnsi="Calibri" w:cs="Times New Roman"/>
          <w:lang w:val="fr-FR"/>
        </w:rPr>
      </w:pPr>
      <w:proofErr w:type="spellStart"/>
      <w:r w:rsidRPr="009449AE">
        <w:rPr>
          <w:rFonts w:ascii="Calibri" w:eastAsia="Calibri" w:hAnsi="Calibri" w:cs="Times New Roman"/>
          <w:lang w:val="fr-FR"/>
        </w:rPr>
        <w:t>Join</w:t>
      </w:r>
      <w:proofErr w:type="spellEnd"/>
      <w:r w:rsidRPr="009449AE">
        <w:rPr>
          <w:rFonts w:ascii="Calibri" w:eastAsia="Calibri" w:hAnsi="Calibri" w:cs="Times New Roman"/>
          <w:lang w:val="fr-FR"/>
        </w:rPr>
        <w:t xml:space="preserve"> For Water/Protos est une organisation non gouvernementale (ONG) belge active dans 8 pays d'Afrique et d’Amérique Latine ainsi qu’en Belgique. L’Association</w:t>
      </w:r>
      <w:r>
        <w:rPr>
          <w:rFonts w:ascii="Calibri" w:eastAsia="Calibri" w:hAnsi="Calibri" w:cs="Times New Roman"/>
          <w:lang w:val="fr-FR"/>
        </w:rPr>
        <w:t>,</w:t>
      </w:r>
      <w:r w:rsidRPr="009449AE">
        <w:rPr>
          <w:rFonts w:ascii="Calibri" w:eastAsia="Calibri" w:hAnsi="Calibri" w:cs="Times New Roman"/>
          <w:lang w:val="fr-FR"/>
        </w:rPr>
        <w:t xml:space="preserve"> sans but lucratif</w:t>
      </w:r>
      <w:r>
        <w:rPr>
          <w:rFonts w:ascii="Calibri" w:eastAsia="Calibri" w:hAnsi="Calibri" w:cs="Times New Roman"/>
          <w:lang w:val="fr-FR"/>
        </w:rPr>
        <w:t>,</w:t>
      </w:r>
      <w:r w:rsidRPr="009449AE">
        <w:rPr>
          <w:rFonts w:ascii="Calibri" w:eastAsia="Calibri" w:hAnsi="Calibri" w:cs="Times New Roman"/>
          <w:lang w:val="fr-FR"/>
        </w:rPr>
        <w:t xml:space="preserve"> est indépendante d’organisations politiques ou de tendances idéologiques. </w:t>
      </w:r>
    </w:p>
    <w:p w14:paraId="0E6ED26D" w14:textId="77777777" w:rsidR="001A6D1D" w:rsidRPr="009449AE" w:rsidRDefault="001A6D1D" w:rsidP="001A6D1D">
      <w:pPr>
        <w:jc w:val="both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 xml:space="preserve">Présent en </w:t>
      </w:r>
      <w:r w:rsidRPr="009449AE">
        <w:rPr>
          <w:rFonts w:ascii="Calibri" w:eastAsia="Calibri" w:hAnsi="Calibri" w:cs="Times New Roman"/>
          <w:lang w:val="fr-FR"/>
        </w:rPr>
        <w:t>Haïti</w:t>
      </w:r>
      <w:r>
        <w:rPr>
          <w:rFonts w:ascii="Calibri" w:eastAsia="Calibri" w:hAnsi="Calibri" w:cs="Times New Roman"/>
          <w:lang w:val="fr-FR"/>
        </w:rPr>
        <w:t xml:space="preserve"> depuis 1977, </w:t>
      </w:r>
      <w:proofErr w:type="spellStart"/>
      <w:r w:rsidRPr="009449AE">
        <w:rPr>
          <w:rFonts w:ascii="Calibri" w:eastAsia="Calibri" w:hAnsi="Calibri" w:cs="Times New Roman"/>
          <w:lang w:val="fr-FR"/>
        </w:rPr>
        <w:t>Join</w:t>
      </w:r>
      <w:proofErr w:type="spellEnd"/>
      <w:r w:rsidRPr="009449AE">
        <w:rPr>
          <w:rFonts w:ascii="Calibri" w:eastAsia="Calibri" w:hAnsi="Calibri" w:cs="Times New Roman"/>
          <w:lang w:val="fr-FR"/>
        </w:rPr>
        <w:t xml:space="preserve"> For Water</w:t>
      </w:r>
      <w:r>
        <w:rPr>
          <w:rFonts w:ascii="Calibri" w:eastAsia="Calibri" w:hAnsi="Calibri" w:cs="Times New Roman"/>
          <w:lang w:val="fr-FR"/>
        </w:rPr>
        <w:t>/Protos</w:t>
      </w:r>
      <w:r w:rsidRPr="009449AE">
        <w:rPr>
          <w:rFonts w:ascii="Calibri" w:eastAsia="Calibri" w:hAnsi="Calibri" w:cs="Times New Roman"/>
          <w:lang w:val="fr-FR"/>
        </w:rPr>
        <w:t xml:space="preserve"> intervient</w:t>
      </w:r>
      <w:r>
        <w:rPr>
          <w:rFonts w:ascii="Calibri" w:eastAsia="Calibri" w:hAnsi="Calibri" w:cs="Times New Roman"/>
          <w:lang w:val="fr-FR"/>
        </w:rPr>
        <w:t>,</w:t>
      </w:r>
      <w:r w:rsidRPr="009449AE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 xml:space="preserve">pour le moment, </w:t>
      </w:r>
      <w:r w:rsidRPr="009449AE">
        <w:rPr>
          <w:rFonts w:ascii="Calibri" w:eastAsia="Calibri" w:hAnsi="Calibri" w:cs="Times New Roman"/>
          <w:lang w:val="fr-FR"/>
        </w:rPr>
        <w:t xml:space="preserve">dans le bassin versant d’Onde Verte à </w:t>
      </w:r>
      <w:proofErr w:type="spellStart"/>
      <w:r w:rsidRPr="009449AE">
        <w:rPr>
          <w:rFonts w:ascii="Calibri" w:eastAsia="Calibri" w:hAnsi="Calibri" w:cs="Times New Roman"/>
          <w:lang w:val="fr-FR"/>
        </w:rPr>
        <w:t>Belladère</w:t>
      </w:r>
      <w:proofErr w:type="spellEnd"/>
      <w:r>
        <w:rPr>
          <w:rFonts w:ascii="Calibri" w:eastAsia="Calibri" w:hAnsi="Calibri" w:cs="Times New Roman"/>
          <w:lang w:val="fr-FR"/>
        </w:rPr>
        <w:t>,</w:t>
      </w:r>
      <w:r w:rsidRPr="009449AE">
        <w:rPr>
          <w:rFonts w:ascii="Calibri" w:eastAsia="Calibri" w:hAnsi="Calibri" w:cs="Times New Roman"/>
          <w:lang w:val="fr-FR"/>
        </w:rPr>
        <w:t xml:space="preserve"> dans</w:t>
      </w:r>
      <w:r w:rsidRPr="00C77F38">
        <w:rPr>
          <w:rFonts w:ascii="Calibri" w:eastAsia="Calibri" w:hAnsi="Calibri" w:cs="Times New Roman"/>
          <w:lang w:val="fr-FR"/>
        </w:rPr>
        <w:t xml:space="preserve"> trois bassins versants de la zone hydrographique de Môle St Nicolas/Moustiques et une partie du bassin versant des Trois Rivières</w:t>
      </w:r>
      <w:r w:rsidRPr="009449AE">
        <w:rPr>
          <w:rFonts w:ascii="Calibri" w:eastAsia="Calibri" w:hAnsi="Calibri" w:cs="Times New Roman"/>
          <w:lang w:val="fr-FR"/>
        </w:rPr>
        <w:t>.</w:t>
      </w:r>
      <w:r>
        <w:rPr>
          <w:rFonts w:ascii="Calibri" w:eastAsia="Calibri" w:hAnsi="Calibri" w:cs="Times New Roman"/>
          <w:lang w:val="fr-FR"/>
        </w:rPr>
        <w:t xml:space="preserve"> Dans ces zones d’intervention, </w:t>
      </w:r>
      <w:proofErr w:type="spellStart"/>
      <w:r>
        <w:rPr>
          <w:rFonts w:ascii="Calibri" w:eastAsia="Calibri" w:hAnsi="Calibri" w:cs="Times New Roman"/>
          <w:lang w:val="fr-FR"/>
        </w:rPr>
        <w:t>Join</w:t>
      </w:r>
      <w:proofErr w:type="spellEnd"/>
      <w:r>
        <w:rPr>
          <w:rFonts w:ascii="Calibri" w:eastAsia="Calibri" w:hAnsi="Calibri" w:cs="Times New Roman"/>
          <w:lang w:val="fr-FR"/>
        </w:rPr>
        <w:t xml:space="preserve"> for Water/Protos met actuellement en œuvre des projets avec le financement du 11</w:t>
      </w:r>
      <w:r w:rsidRPr="009D1995">
        <w:rPr>
          <w:rFonts w:ascii="Calibri" w:eastAsia="Calibri" w:hAnsi="Calibri" w:cs="Times New Roman"/>
          <w:vertAlign w:val="superscript"/>
          <w:lang w:val="fr-FR"/>
        </w:rPr>
        <w:t>ème</w:t>
      </w:r>
      <w:r>
        <w:rPr>
          <w:rFonts w:ascii="Calibri" w:eastAsia="Calibri" w:hAnsi="Calibri" w:cs="Times New Roman"/>
          <w:lang w:val="fr-FR"/>
        </w:rPr>
        <w:t xml:space="preserve"> FED et de la DGD. </w:t>
      </w:r>
    </w:p>
    <w:p w14:paraId="2F4543A2" w14:textId="77777777" w:rsidR="001A6D1D" w:rsidRDefault="001A6D1D" w:rsidP="001A6D1D">
      <w:pPr>
        <w:jc w:val="both"/>
        <w:rPr>
          <w:rFonts w:ascii="Calibri" w:eastAsia="Calibri" w:hAnsi="Calibri" w:cs="Times New Roman"/>
          <w:lang w:val="fr-FR"/>
        </w:rPr>
      </w:pPr>
    </w:p>
    <w:p w14:paraId="4C8B69B4" w14:textId="32E032F4" w:rsidR="001A6D1D" w:rsidRDefault="001A6D1D" w:rsidP="001A6D1D">
      <w:pPr>
        <w:jc w:val="both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 xml:space="preserve">Présentement, dans le Nord-Ouest, </w:t>
      </w:r>
      <w:proofErr w:type="spellStart"/>
      <w:r w:rsidRPr="009449AE">
        <w:rPr>
          <w:rFonts w:ascii="Calibri" w:eastAsia="Calibri" w:hAnsi="Calibri" w:cs="Times New Roman"/>
          <w:lang w:val="fr-FR"/>
        </w:rPr>
        <w:t>Join</w:t>
      </w:r>
      <w:proofErr w:type="spellEnd"/>
      <w:r w:rsidRPr="009449AE">
        <w:rPr>
          <w:rFonts w:ascii="Calibri" w:eastAsia="Calibri" w:hAnsi="Calibri" w:cs="Times New Roman"/>
          <w:lang w:val="fr-FR"/>
        </w:rPr>
        <w:t xml:space="preserve"> For Water/Protos </w:t>
      </w:r>
      <w:r>
        <w:rPr>
          <w:rFonts w:ascii="Calibri" w:eastAsia="Calibri" w:hAnsi="Calibri" w:cs="Times New Roman"/>
          <w:lang w:val="fr-FR"/>
        </w:rPr>
        <w:t xml:space="preserve">fait partie de deux consortia pour mettre en œuvre 2 projets avec le soutien de l’union européenne ; pour l’un il est </w:t>
      </w:r>
      <w:proofErr w:type="spellStart"/>
      <w:r>
        <w:rPr>
          <w:rFonts w:ascii="Calibri" w:eastAsia="Calibri" w:hAnsi="Calibri" w:cs="Times New Roman"/>
          <w:lang w:val="fr-FR"/>
        </w:rPr>
        <w:t>co-demandeur</w:t>
      </w:r>
      <w:proofErr w:type="spellEnd"/>
      <w:r>
        <w:rPr>
          <w:rFonts w:ascii="Calibri" w:eastAsia="Calibri" w:hAnsi="Calibri" w:cs="Times New Roman"/>
          <w:lang w:val="fr-FR"/>
        </w:rPr>
        <w:t xml:space="preserve"> et pour l’autre demandeur principal. Pour ce dernier, intitulé </w:t>
      </w:r>
      <w:r w:rsidRPr="00857301">
        <w:rPr>
          <w:rFonts w:ascii="Calibri" w:eastAsia="Calibri" w:hAnsi="Calibri" w:cs="Times New Roman"/>
          <w:i/>
          <w:iCs/>
          <w:lang w:val="fr-FR"/>
        </w:rPr>
        <w:t>GIRE-SECALM – Gestion Intégrée des Ressources en Eau pour la Sécurité Alimentaire et Nutritionnelle et la Protection Sociale dans trois bassins versants de la zone hydrographique de Môle St Nicolas/Moustiques</w:t>
      </w:r>
      <w:r>
        <w:rPr>
          <w:rFonts w:ascii="Calibri" w:eastAsia="Calibri" w:hAnsi="Calibri" w:cs="Times New Roman"/>
          <w:i/>
          <w:iCs/>
          <w:lang w:val="fr-FR"/>
        </w:rPr>
        <w:t>,</w:t>
      </w:r>
      <w:r w:rsidRPr="00857301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 xml:space="preserve">il </w:t>
      </w:r>
      <w:r w:rsidRPr="009449AE">
        <w:rPr>
          <w:rFonts w:ascii="Calibri" w:eastAsia="Calibri" w:hAnsi="Calibri" w:cs="Times New Roman"/>
          <w:lang w:val="fr-FR"/>
        </w:rPr>
        <w:t xml:space="preserve">cherche un(e) </w:t>
      </w:r>
      <w:r>
        <w:rPr>
          <w:rFonts w:ascii="Calibri" w:eastAsia="Calibri" w:hAnsi="Calibri" w:cs="Times New Roman"/>
          <w:lang w:val="fr-FR"/>
        </w:rPr>
        <w:t xml:space="preserve">consultant/te capable d’assurer le suivi-évaluation du projet </w:t>
      </w:r>
      <w:r w:rsidRPr="00857301">
        <w:rPr>
          <w:rFonts w:ascii="Calibri" w:eastAsia="Calibri" w:hAnsi="Calibri" w:cs="Times New Roman"/>
          <w:lang w:val="fr-FR"/>
        </w:rPr>
        <w:t xml:space="preserve">et </w:t>
      </w:r>
      <w:r>
        <w:rPr>
          <w:rFonts w:ascii="Calibri" w:eastAsia="Calibri" w:hAnsi="Calibri" w:cs="Times New Roman"/>
          <w:lang w:val="fr-FR"/>
        </w:rPr>
        <w:t xml:space="preserve">faire </w:t>
      </w:r>
      <w:r w:rsidRPr="00857301">
        <w:rPr>
          <w:rFonts w:ascii="Calibri" w:eastAsia="Calibri" w:hAnsi="Calibri" w:cs="Times New Roman"/>
          <w:lang w:val="fr-FR"/>
        </w:rPr>
        <w:t xml:space="preserve">le lien entre </w:t>
      </w:r>
      <w:proofErr w:type="spellStart"/>
      <w:r w:rsidRPr="00857301">
        <w:rPr>
          <w:rFonts w:ascii="Calibri" w:eastAsia="Calibri" w:hAnsi="Calibri" w:cs="Times New Roman"/>
          <w:lang w:val="fr-FR"/>
        </w:rPr>
        <w:t>Join</w:t>
      </w:r>
      <w:proofErr w:type="spellEnd"/>
      <w:r w:rsidRPr="00857301">
        <w:rPr>
          <w:rFonts w:ascii="Calibri" w:eastAsia="Calibri" w:hAnsi="Calibri" w:cs="Times New Roman"/>
          <w:lang w:val="fr-FR"/>
        </w:rPr>
        <w:t xml:space="preserve"> for Water/Protos-ODRINO et ACF qui </w:t>
      </w:r>
      <w:r>
        <w:rPr>
          <w:rFonts w:ascii="Calibri" w:eastAsia="Calibri" w:hAnsi="Calibri" w:cs="Times New Roman"/>
          <w:lang w:val="fr-FR"/>
        </w:rPr>
        <w:t>est responsable du suivi</w:t>
      </w:r>
      <w:r w:rsidRPr="00857301">
        <w:rPr>
          <w:rFonts w:ascii="Calibri" w:eastAsia="Calibri" w:hAnsi="Calibri" w:cs="Times New Roman"/>
          <w:lang w:val="fr-FR"/>
        </w:rPr>
        <w:t xml:space="preserve"> d</w:t>
      </w:r>
      <w:r>
        <w:rPr>
          <w:rFonts w:ascii="Calibri" w:eastAsia="Calibri" w:hAnsi="Calibri" w:cs="Times New Roman"/>
          <w:lang w:val="fr-FR"/>
        </w:rPr>
        <w:t>e l’autre projet titré</w:t>
      </w:r>
      <w:r w:rsidRPr="00857301">
        <w:rPr>
          <w:rFonts w:ascii="Calibri" w:eastAsia="Calibri" w:hAnsi="Calibri" w:cs="Times New Roman"/>
          <w:lang w:val="fr-FR"/>
        </w:rPr>
        <w:t xml:space="preserve"> </w:t>
      </w:r>
      <w:r w:rsidRPr="00857301">
        <w:rPr>
          <w:rFonts w:ascii="Calibri" w:eastAsia="Calibri" w:hAnsi="Calibri" w:cs="Times New Roman"/>
          <w:i/>
          <w:iCs/>
          <w:lang w:val="fr-FR"/>
        </w:rPr>
        <w:t>Projet d’amélioration de la sécurité alimentaire et nutritionnelle et d’accès à la protection sociale dans le bassin versant de Trois Rivières (</w:t>
      </w:r>
      <w:proofErr w:type="spellStart"/>
      <w:r w:rsidRPr="00857301">
        <w:rPr>
          <w:rFonts w:ascii="Calibri" w:eastAsia="Calibri" w:hAnsi="Calibri" w:cs="Times New Roman"/>
          <w:i/>
          <w:iCs/>
          <w:lang w:val="fr-FR"/>
        </w:rPr>
        <w:t>Pasan-Apros</w:t>
      </w:r>
      <w:proofErr w:type="spellEnd"/>
      <w:r w:rsidRPr="00857301">
        <w:rPr>
          <w:rFonts w:ascii="Calibri" w:eastAsia="Calibri" w:hAnsi="Calibri" w:cs="Times New Roman"/>
          <w:i/>
          <w:iCs/>
          <w:lang w:val="fr-FR"/>
        </w:rPr>
        <w:t>)</w:t>
      </w:r>
      <w:r>
        <w:rPr>
          <w:rFonts w:ascii="Calibri" w:eastAsia="Calibri" w:hAnsi="Calibri" w:cs="Times New Roman"/>
          <w:i/>
          <w:iCs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>dont le GRET assure le lead</w:t>
      </w:r>
      <w:r w:rsidRPr="00857301">
        <w:rPr>
          <w:rFonts w:ascii="Calibri" w:eastAsia="Calibri" w:hAnsi="Calibri" w:cs="Times New Roman"/>
          <w:lang w:val="fr-FR"/>
        </w:rPr>
        <w:t>.</w:t>
      </w:r>
      <w:r w:rsidR="0036216D">
        <w:rPr>
          <w:rFonts w:ascii="Calibri" w:eastAsia="Calibri" w:hAnsi="Calibri" w:cs="Times New Roman"/>
          <w:lang w:val="fr-FR"/>
        </w:rPr>
        <w:t xml:space="preserve"> En plus, JFW implémente également son multi-</w:t>
      </w:r>
      <w:proofErr w:type="spellStart"/>
      <w:r w:rsidR="0036216D">
        <w:rPr>
          <w:rFonts w:ascii="Calibri" w:eastAsia="Calibri" w:hAnsi="Calibri" w:cs="Times New Roman"/>
          <w:lang w:val="fr-FR"/>
        </w:rPr>
        <w:t>year</w:t>
      </w:r>
      <w:proofErr w:type="spellEnd"/>
      <w:r w:rsidR="0036216D">
        <w:rPr>
          <w:rFonts w:ascii="Calibri" w:eastAsia="Calibri" w:hAnsi="Calibri" w:cs="Times New Roman"/>
          <w:lang w:val="fr-FR"/>
        </w:rPr>
        <w:t xml:space="preserve"> program financé par la DGD pour lequel il pourra suivre les activités liées à l’eau potable. </w:t>
      </w:r>
    </w:p>
    <w:p w14:paraId="3DE6BF6A" w14:textId="77777777" w:rsidR="001A6D1D" w:rsidRPr="00857301" w:rsidRDefault="001A6D1D" w:rsidP="001A6D1D">
      <w:pPr>
        <w:jc w:val="both"/>
        <w:rPr>
          <w:rFonts w:ascii="Calibri" w:eastAsia="Calibri" w:hAnsi="Calibri" w:cs="Times New Roman"/>
          <w:lang w:val="fr-FR"/>
        </w:rPr>
      </w:pPr>
    </w:p>
    <w:p w14:paraId="1B62EA85" w14:textId="77777777" w:rsidR="001A6D1D" w:rsidRPr="009449AE" w:rsidRDefault="001A6D1D" w:rsidP="001A6D1D">
      <w:pPr>
        <w:jc w:val="both"/>
        <w:rPr>
          <w:rFonts w:ascii="Calibri" w:eastAsia="Calibri" w:hAnsi="Calibri" w:cs="Times New Roman"/>
          <w:b/>
          <w:bCs/>
          <w:i/>
          <w:iCs/>
          <w:lang w:val="fr-FR"/>
        </w:rPr>
      </w:pPr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 xml:space="preserve">Pour de plus amples informations sur </w:t>
      </w:r>
      <w:proofErr w:type="spellStart"/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>Join</w:t>
      </w:r>
      <w:proofErr w:type="spellEnd"/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 xml:space="preserve"> For Water</w:t>
      </w:r>
      <w:r>
        <w:rPr>
          <w:rFonts w:ascii="Calibri" w:eastAsia="Calibri" w:hAnsi="Calibri" w:cs="Times New Roman"/>
          <w:b/>
          <w:bCs/>
          <w:i/>
          <w:iCs/>
          <w:lang w:val="fr-FR"/>
        </w:rPr>
        <w:t>/Protos</w:t>
      </w:r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 xml:space="preserve"> et ses programmes, consultez </w:t>
      </w:r>
      <w:r>
        <w:rPr>
          <w:rFonts w:ascii="Calibri" w:eastAsia="Calibri" w:hAnsi="Calibri" w:cs="Times New Roman"/>
          <w:b/>
          <w:bCs/>
          <w:i/>
          <w:iCs/>
          <w:lang w:val="fr-FR"/>
        </w:rPr>
        <w:t xml:space="preserve">le </w:t>
      </w:r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>site web</w:t>
      </w:r>
      <w:r>
        <w:rPr>
          <w:rFonts w:ascii="Calibri" w:eastAsia="Calibri" w:hAnsi="Calibri" w:cs="Times New Roman"/>
          <w:b/>
          <w:bCs/>
          <w:i/>
          <w:iCs/>
          <w:lang w:val="fr-FR"/>
        </w:rPr>
        <w:t xml:space="preserve"> de </w:t>
      </w:r>
      <w:proofErr w:type="gramStart"/>
      <w:r>
        <w:rPr>
          <w:rFonts w:ascii="Calibri" w:eastAsia="Calibri" w:hAnsi="Calibri" w:cs="Times New Roman"/>
          <w:b/>
          <w:bCs/>
          <w:i/>
          <w:iCs/>
          <w:lang w:val="fr-FR"/>
        </w:rPr>
        <w:t>l’organisation</w:t>
      </w:r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>:</w:t>
      </w:r>
      <w:proofErr w:type="gramEnd"/>
      <w:r w:rsidRPr="009449AE">
        <w:rPr>
          <w:rFonts w:ascii="Calibri" w:eastAsia="Calibri" w:hAnsi="Calibri" w:cs="Times New Roman"/>
          <w:b/>
          <w:bCs/>
          <w:i/>
          <w:iCs/>
          <w:lang w:val="fr-FR"/>
        </w:rPr>
        <w:t xml:space="preserve"> www.joinforwater.ong. </w:t>
      </w:r>
    </w:p>
    <w:p w14:paraId="4B9F6024" w14:textId="77777777" w:rsidR="00900BEE" w:rsidRDefault="00900BEE" w:rsidP="00900BEE">
      <w:pPr>
        <w:rPr>
          <w:lang w:val="fr-BE"/>
        </w:rPr>
      </w:pPr>
    </w:p>
    <w:p w14:paraId="3C381E8B" w14:textId="004C76C9" w:rsidR="009F5D52" w:rsidRPr="009F5D52" w:rsidRDefault="009F5D52" w:rsidP="00CD5358">
      <w:pPr>
        <w:pStyle w:val="Heading1"/>
      </w:pPr>
      <w:r>
        <w:t>Objectif</w:t>
      </w:r>
    </w:p>
    <w:p w14:paraId="4FF88FB0" w14:textId="77777777" w:rsidR="009F5D52" w:rsidRPr="00900BEE" w:rsidRDefault="009F5D52" w:rsidP="00900BEE">
      <w:pPr>
        <w:rPr>
          <w:lang w:val="fr-BE"/>
        </w:rPr>
      </w:pPr>
    </w:p>
    <w:p w14:paraId="00F76B42" w14:textId="7AB40719" w:rsidR="00F80C0F" w:rsidRDefault="00900BEE" w:rsidP="00900BEE">
      <w:pPr>
        <w:rPr>
          <w:lang w:val="fr-BE"/>
        </w:rPr>
      </w:pPr>
      <w:r w:rsidRPr="00900BEE">
        <w:rPr>
          <w:lang w:val="fr-BE"/>
        </w:rPr>
        <w:t>Dans ce contexte</w:t>
      </w:r>
      <w:r w:rsidR="00F80C0F">
        <w:rPr>
          <w:lang w:val="fr-BE"/>
        </w:rPr>
        <w:t>, le recrutement d’un</w:t>
      </w:r>
      <w:r w:rsidR="00211E49">
        <w:rPr>
          <w:lang w:val="fr-BE"/>
        </w:rPr>
        <w:t>(e)</w:t>
      </w:r>
      <w:r w:rsidR="00F80C0F">
        <w:rPr>
          <w:lang w:val="fr-BE"/>
        </w:rPr>
        <w:t xml:space="preserve"> consultant</w:t>
      </w:r>
      <w:r w:rsidR="00211E49">
        <w:rPr>
          <w:lang w:val="fr-BE"/>
        </w:rPr>
        <w:t>(e)</w:t>
      </w:r>
      <w:r w:rsidR="00F80C0F">
        <w:rPr>
          <w:lang w:val="fr-BE"/>
        </w:rPr>
        <w:t xml:space="preserve"> expert en S&amp;E pour le</w:t>
      </w:r>
      <w:r w:rsidR="00E63256">
        <w:rPr>
          <w:lang w:val="fr-BE"/>
        </w:rPr>
        <w:t xml:space="preserve">s projets de JFW dans le </w:t>
      </w:r>
      <w:proofErr w:type="spellStart"/>
      <w:r w:rsidR="00E63256">
        <w:rPr>
          <w:lang w:val="fr-BE"/>
        </w:rPr>
        <w:t>Nord Ouest</w:t>
      </w:r>
      <w:proofErr w:type="spellEnd"/>
      <w:r w:rsidR="001B4320">
        <w:rPr>
          <w:lang w:val="fr-BE"/>
        </w:rPr>
        <w:t xml:space="preserve"> </w:t>
      </w:r>
      <w:r w:rsidR="00F80C0F">
        <w:rPr>
          <w:lang w:val="fr-BE"/>
        </w:rPr>
        <w:t>poursuit 3 objectifs principaux :</w:t>
      </w:r>
    </w:p>
    <w:p w14:paraId="481E86D4" w14:textId="1D865699" w:rsidR="00F80C0F" w:rsidRDefault="00F80C0F" w:rsidP="00F80C0F">
      <w:pPr>
        <w:pStyle w:val="ListParagraph"/>
        <w:numPr>
          <w:ilvl w:val="0"/>
          <w:numId w:val="24"/>
        </w:numPr>
        <w:rPr>
          <w:lang w:val="fr-BE"/>
        </w:rPr>
      </w:pPr>
      <w:r>
        <w:rPr>
          <w:lang w:val="fr-BE"/>
        </w:rPr>
        <w:t xml:space="preserve">Renseigner les </w:t>
      </w:r>
      <w:r w:rsidR="00E63256">
        <w:rPr>
          <w:lang w:val="fr-BE"/>
        </w:rPr>
        <w:t>indicateurs de projets</w:t>
      </w:r>
      <w:r>
        <w:rPr>
          <w:lang w:val="fr-BE"/>
        </w:rPr>
        <w:t xml:space="preserve"> liés aux activités de JFW pour l’année </w:t>
      </w:r>
      <w:proofErr w:type="gramStart"/>
      <w:r>
        <w:rPr>
          <w:lang w:val="fr-BE"/>
        </w:rPr>
        <w:t>2020;</w:t>
      </w:r>
      <w:proofErr w:type="gramEnd"/>
    </w:p>
    <w:p w14:paraId="13BF05E3" w14:textId="370FC7F2" w:rsidR="00F80C0F" w:rsidRPr="007E20C0" w:rsidRDefault="007E20C0" w:rsidP="007E20C0">
      <w:pPr>
        <w:pStyle w:val="ListParagraph"/>
        <w:numPr>
          <w:ilvl w:val="0"/>
          <w:numId w:val="24"/>
        </w:numPr>
        <w:rPr>
          <w:lang w:val="fr-BE"/>
        </w:rPr>
      </w:pPr>
      <w:r>
        <w:rPr>
          <w:lang w:val="fr-BE"/>
        </w:rPr>
        <w:t>Renforcer les capacités de JFW et ses partenaires en matière de S&amp;E ;</w:t>
      </w:r>
    </w:p>
    <w:p w14:paraId="05A9989C" w14:textId="2F04A585" w:rsidR="00F80C0F" w:rsidRPr="007E20C0" w:rsidRDefault="007E20C0" w:rsidP="00900BEE">
      <w:pPr>
        <w:pStyle w:val="ListParagraph"/>
        <w:numPr>
          <w:ilvl w:val="0"/>
          <w:numId w:val="24"/>
        </w:numPr>
        <w:rPr>
          <w:lang w:val="fr-BE"/>
        </w:rPr>
      </w:pPr>
      <w:r>
        <w:rPr>
          <w:lang w:val="fr-BE"/>
        </w:rPr>
        <w:t>Améliorer le système de collecte et d’analyse des données initié par JFW et ses partenaires (base commune</w:t>
      </w:r>
      <w:proofErr w:type="gramStart"/>
      <w:r>
        <w:rPr>
          <w:lang w:val="fr-BE"/>
        </w:rPr>
        <w:t>);</w:t>
      </w:r>
      <w:proofErr w:type="gramEnd"/>
    </w:p>
    <w:p w14:paraId="5F5598B2" w14:textId="77777777" w:rsidR="00F80C0F" w:rsidRDefault="00F80C0F" w:rsidP="00900BEE">
      <w:pPr>
        <w:rPr>
          <w:lang w:val="fr-BE"/>
        </w:rPr>
      </w:pPr>
    </w:p>
    <w:p w14:paraId="0CDE4577" w14:textId="276D4D28" w:rsidR="002F1375" w:rsidRPr="00CD5358" w:rsidRDefault="008F0086" w:rsidP="00CD5358">
      <w:pPr>
        <w:pStyle w:val="Heading1"/>
      </w:pPr>
      <w:r w:rsidRPr="00CD5358">
        <w:t xml:space="preserve">Mission </w:t>
      </w:r>
      <w:r w:rsidR="001A6D1D">
        <w:t>du consultant</w:t>
      </w:r>
      <w:r w:rsidR="00AA2EF7" w:rsidRPr="00CD5358">
        <w:t xml:space="preserve"> </w:t>
      </w:r>
    </w:p>
    <w:p w14:paraId="6CD8FF76" w14:textId="77777777" w:rsidR="008F0086" w:rsidRPr="006C47F7" w:rsidRDefault="008F0086" w:rsidP="00CD5358">
      <w:pPr>
        <w:pStyle w:val="Heading2"/>
      </w:pPr>
      <w:r w:rsidRPr="006C47F7">
        <w:t>Avant mission</w:t>
      </w:r>
    </w:p>
    <w:p w14:paraId="6EDDCDC4" w14:textId="04EBBFE1" w:rsidR="008F0086" w:rsidRPr="003A51D1" w:rsidRDefault="008F0086" w:rsidP="003A51D1">
      <w:pPr>
        <w:pStyle w:val="ListParagraph"/>
        <w:numPr>
          <w:ilvl w:val="0"/>
          <w:numId w:val="24"/>
        </w:numPr>
        <w:rPr>
          <w:lang w:val="fr-BE"/>
        </w:rPr>
      </w:pPr>
      <w:r w:rsidRPr="003A51D1">
        <w:rPr>
          <w:lang w:val="fr-BE"/>
        </w:rPr>
        <w:t>Le</w:t>
      </w:r>
      <w:r w:rsidR="006A66E7">
        <w:rPr>
          <w:lang w:val="fr-BE"/>
        </w:rPr>
        <w:t>/la</w:t>
      </w:r>
      <w:r w:rsidRPr="003A51D1">
        <w:rPr>
          <w:lang w:val="fr-BE"/>
        </w:rPr>
        <w:t xml:space="preserve"> </w:t>
      </w:r>
      <w:r w:rsidR="001A6D1D" w:rsidRPr="003A51D1">
        <w:rPr>
          <w:lang w:val="fr-BE"/>
        </w:rPr>
        <w:t>consultant</w:t>
      </w:r>
      <w:r w:rsidR="00211E49">
        <w:rPr>
          <w:lang w:val="fr-BE"/>
        </w:rPr>
        <w:t>(e)</w:t>
      </w:r>
      <w:r w:rsidR="007E20C0" w:rsidRPr="003A51D1">
        <w:rPr>
          <w:lang w:val="fr-BE"/>
        </w:rPr>
        <w:t xml:space="preserve"> sera familiarisé avec le</w:t>
      </w:r>
      <w:r w:rsidR="00E63256">
        <w:rPr>
          <w:lang w:val="fr-BE"/>
        </w:rPr>
        <w:t xml:space="preserve">s projets </w:t>
      </w:r>
      <w:r w:rsidRPr="003A51D1">
        <w:rPr>
          <w:lang w:val="fr-BE"/>
        </w:rPr>
        <w:t>par la prise de connaissance des documents y afférents :</w:t>
      </w:r>
    </w:p>
    <w:p w14:paraId="374D8067" w14:textId="17449645" w:rsidR="007E20C0" w:rsidRDefault="007E20C0" w:rsidP="00CD5358">
      <w:pPr>
        <w:pStyle w:val="ListParagraph"/>
        <w:numPr>
          <w:ilvl w:val="0"/>
          <w:numId w:val="16"/>
        </w:numPr>
        <w:spacing w:before="120"/>
        <w:contextualSpacing w:val="0"/>
        <w:rPr>
          <w:lang w:val="fr-BE"/>
        </w:rPr>
      </w:pPr>
      <w:r>
        <w:rPr>
          <w:lang w:val="fr-BE"/>
        </w:rPr>
        <w:t>Document technique d</w:t>
      </w:r>
      <w:r w:rsidR="00E63256">
        <w:rPr>
          <w:lang w:val="fr-BE"/>
        </w:rPr>
        <w:t>e</w:t>
      </w:r>
      <w:r>
        <w:rPr>
          <w:lang w:val="fr-BE"/>
        </w:rPr>
        <w:t xml:space="preserve"> projet </w:t>
      </w:r>
    </w:p>
    <w:p w14:paraId="339F5753" w14:textId="3D4594D5" w:rsidR="007E20C0" w:rsidRPr="00CD5358" w:rsidRDefault="007E20C0" w:rsidP="00CD5358">
      <w:pPr>
        <w:pStyle w:val="ListParagraph"/>
        <w:numPr>
          <w:ilvl w:val="0"/>
          <w:numId w:val="16"/>
        </w:numPr>
        <w:spacing w:before="120"/>
        <w:contextualSpacing w:val="0"/>
        <w:rPr>
          <w:lang w:val="fr-BE"/>
        </w:rPr>
      </w:pPr>
      <w:r>
        <w:rPr>
          <w:lang w:val="fr-BE"/>
        </w:rPr>
        <w:t>Cadre logique d</w:t>
      </w:r>
      <w:r w:rsidR="00E63256">
        <w:rPr>
          <w:lang w:val="fr-BE"/>
        </w:rPr>
        <w:t>e</w:t>
      </w:r>
      <w:r>
        <w:rPr>
          <w:lang w:val="fr-BE"/>
        </w:rPr>
        <w:t xml:space="preserve"> projet</w:t>
      </w:r>
    </w:p>
    <w:p w14:paraId="480EFAD0" w14:textId="537D8895" w:rsidR="008F0086" w:rsidRDefault="007E20C0" w:rsidP="00CD5358">
      <w:pPr>
        <w:pStyle w:val="ListParagraph"/>
        <w:numPr>
          <w:ilvl w:val="0"/>
          <w:numId w:val="16"/>
        </w:numPr>
        <w:spacing w:before="120"/>
        <w:contextualSpacing w:val="0"/>
        <w:rPr>
          <w:lang w:val="fr-BE"/>
        </w:rPr>
      </w:pPr>
      <w:r>
        <w:rPr>
          <w:lang w:val="fr-BE"/>
        </w:rPr>
        <w:t>Rapport</w:t>
      </w:r>
      <w:r w:rsidR="00E63256">
        <w:rPr>
          <w:lang w:val="fr-BE"/>
        </w:rPr>
        <w:t>s</w:t>
      </w:r>
      <w:r>
        <w:rPr>
          <w:lang w:val="fr-BE"/>
        </w:rPr>
        <w:t xml:space="preserve"> annuel</w:t>
      </w:r>
      <w:r w:rsidR="00E63256">
        <w:rPr>
          <w:lang w:val="fr-BE"/>
        </w:rPr>
        <w:t>s</w:t>
      </w:r>
      <w:r>
        <w:rPr>
          <w:lang w:val="fr-BE"/>
        </w:rPr>
        <w:t xml:space="preserve"> 2019</w:t>
      </w:r>
    </w:p>
    <w:p w14:paraId="577F48FD" w14:textId="37E75106" w:rsidR="007E20C0" w:rsidRDefault="007E20C0" w:rsidP="00CD5358">
      <w:pPr>
        <w:pStyle w:val="ListParagraph"/>
        <w:numPr>
          <w:ilvl w:val="0"/>
          <w:numId w:val="16"/>
        </w:numPr>
        <w:spacing w:before="120"/>
        <w:contextualSpacing w:val="0"/>
        <w:rPr>
          <w:lang w:val="fr-BE"/>
        </w:rPr>
      </w:pPr>
      <w:r>
        <w:rPr>
          <w:lang w:val="fr-BE"/>
        </w:rPr>
        <w:lastRenderedPageBreak/>
        <w:t>Rapport de l’atelier de suivi des indicateurs organisé en février 2021</w:t>
      </w:r>
    </w:p>
    <w:p w14:paraId="401C31E4" w14:textId="06FA60EF" w:rsidR="007E20C0" w:rsidRDefault="007E20C0" w:rsidP="00CD5358">
      <w:pPr>
        <w:pStyle w:val="ListParagraph"/>
        <w:numPr>
          <w:ilvl w:val="0"/>
          <w:numId w:val="16"/>
        </w:numPr>
        <w:spacing w:before="120"/>
        <w:contextualSpacing w:val="0"/>
        <w:rPr>
          <w:lang w:val="fr-BE"/>
        </w:rPr>
      </w:pPr>
      <w:r>
        <w:rPr>
          <w:lang w:val="fr-BE"/>
        </w:rPr>
        <w:t>Fiches de suivi des indicateurs</w:t>
      </w:r>
      <w:r w:rsidR="00193A8A">
        <w:rPr>
          <w:lang w:val="fr-BE"/>
        </w:rPr>
        <w:t xml:space="preserve"> déjà élaborées.</w:t>
      </w:r>
      <w:r>
        <w:rPr>
          <w:lang w:val="fr-BE"/>
        </w:rPr>
        <w:t xml:space="preserve"> </w:t>
      </w:r>
    </w:p>
    <w:p w14:paraId="3C588051" w14:textId="58129E74" w:rsidR="003A51D1" w:rsidRDefault="003A51D1" w:rsidP="003A51D1">
      <w:pPr>
        <w:spacing w:before="120"/>
        <w:rPr>
          <w:lang w:val="fr-BE"/>
        </w:rPr>
      </w:pPr>
    </w:p>
    <w:p w14:paraId="6BAF7FB6" w14:textId="09484AC2" w:rsidR="00DF5AAA" w:rsidRDefault="003A51D1" w:rsidP="003A51D1">
      <w:pPr>
        <w:pStyle w:val="ListParagraph"/>
        <w:numPr>
          <w:ilvl w:val="0"/>
          <w:numId w:val="24"/>
        </w:numPr>
        <w:spacing w:before="120"/>
        <w:jc w:val="both"/>
        <w:rPr>
          <w:lang w:val="fr-BE"/>
        </w:rPr>
      </w:pPr>
      <w:r w:rsidRPr="003A51D1">
        <w:rPr>
          <w:lang w:val="fr-BE"/>
        </w:rPr>
        <w:t>Le</w:t>
      </w:r>
      <w:r w:rsidR="006A66E7">
        <w:rPr>
          <w:lang w:val="fr-BE"/>
        </w:rPr>
        <w:t>/la</w:t>
      </w:r>
      <w:r w:rsidRPr="003A51D1">
        <w:rPr>
          <w:lang w:val="fr-BE"/>
        </w:rPr>
        <w:t xml:space="preserve"> consultant</w:t>
      </w:r>
      <w:r w:rsidR="006A66E7">
        <w:rPr>
          <w:lang w:val="fr-BE"/>
        </w:rPr>
        <w:t>(e)</w:t>
      </w:r>
      <w:r w:rsidRPr="003A51D1">
        <w:rPr>
          <w:lang w:val="fr-BE"/>
        </w:rPr>
        <w:t xml:space="preserve"> aura pris connaissance des indicateurs de suivi des activités de JFW/ODRINO. Et, pour chacun d’eux</w:t>
      </w:r>
      <w:r w:rsidR="00DF5AAA">
        <w:rPr>
          <w:lang w:val="fr-BE"/>
        </w:rPr>
        <w:t xml:space="preserve"> il </w:t>
      </w:r>
      <w:proofErr w:type="gramStart"/>
      <w:r w:rsidR="00DF5AAA">
        <w:rPr>
          <w:lang w:val="fr-BE"/>
        </w:rPr>
        <w:t>préparera:</w:t>
      </w:r>
      <w:proofErr w:type="gramEnd"/>
    </w:p>
    <w:p w14:paraId="5807FB99" w14:textId="67788505" w:rsidR="00CD5358" w:rsidRDefault="003A51D1" w:rsidP="00DF5AAA">
      <w:pPr>
        <w:pStyle w:val="ListParagraph"/>
        <w:numPr>
          <w:ilvl w:val="0"/>
          <w:numId w:val="25"/>
        </w:numPr>
        <w:spacing w:before="120"/>
        <w:jc w:val="both"/>
        <w:rPr>
          <w:lang w:val="fr-BE"/>
        </w:rPr>
      </w:pPr>
      <w:proofErr w:type="gramStart"/>
      <w:r>
        <w:rPr>
          <w:lang w:val="fr-BE"/>
        </w:rPr>
        <w:t>un</w:t>
      </w:r>
      <w:proofErr w:type="gramEnd"/>
      <w:r>
        <w:rPr>
          <w:lang w:val="fr-BE"/>
        </w:rPr>
        <w:t xml:space="preserve"> scénario de collecte </w:t>
      </w:r>
      <w:r w:rsidR="00DF5AAA">
        <w:rPr>
          <w:lang w:val="fr-BE"/>
        </w:rPr>
        <w:t>digitalisé des données nécessaires pour les renseigner ;</w:t>
      </w:r>
    </w:p>
    <w:p w14:paraId="43B39EC7" w14:textId="6C56B15D" w:rsidR="00DF5AAA" w:rsidRDefault="000E2C21" w:rsidP="00DF5AAA">
      <w:pPr>
        <w:pStyle w:val="ListParagraph"/>
        <w:numPr>
          <w:ilvl w:val="0"/>
          <w:numId w:val="25"/>
        </w:numPr>
        <w:spacing w:before="120"/>
        <w:jc w:val="both"/>
        <w:rPr>
          <w:lang w:val="fr-BE"/>
        </w:rPr>
      </w:pPr>
      <w:proofErr w:type="gramStart"/>
      <w:r>
        <w:rPr>
          <w:lang w:val="fr-BE"/>
        </w:rPr>
        <w:t>les</w:t>
      </w:r>
      <w:proofErr w:type="gramEnd"/>
      <w:r>
        <w:rPr>
          <w:lang w:val="fr-BE"/>
        </w:rPr>
        <w:t xml:space="preserve"> outils </w:t>
      </w:r>
      <w:r w:rsidR="00DF5AAA">
        <w:rPr>
          <w:lang w:val="fr-BE"/>
        </w:rPr>
        <w:t>de collecte</w:t>
      </w:r>
      <w:r>
        <w:rPr>
          <w:lang w:val="fr-BE"/>
        </w:rPr>
        <w:t xml:space="preserve">. De préférence, le consultant utilisera l’outil </w:t>
      </w:r>
      <w:proofErr w:type="spellStart"/>
      <w:r>
        <w:rPr>
          <w:lang w:val="fr-BE"/>
        </w:rPr>
        <w:t>kobo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toolbox</w:t>
      </w:r>
      <w:proofErr w:type="spellEnd"/>
      <w:r w:rsidR="00DF5AAA">
        <w:rPr>
          <w:lang w:val="fr-BE"/>
        </w:rPr>
        <w:t> ;</w:t>
      </w:r>
    </w:p>
    <w:p w14:paraId="1F2B5E65" w14:textId="22134644" w:rsidR="000E2C21" w:rsidRDefault="000E2C21" w:rsidP="00DF5AAA">
      <w:pPr>
        <w:pStyle w:val="ListParagraph"/>
        <w:numPr>
          <w:ilvl w:val="0"/>
          <w:numId w:val="25"/>
        </w:numPr>
        <w:spacing w:before="120"/>
        <w:jc w:val="both"/>
        <w:rPr>
          <w:lang w:val="fr-BE"/>
        </w:rPr>
      </w:pPr>
      <w:proofErr w:type="gramStart"/>
      <w:r>
        <w:rPr>
          <w:lang w:val="fr-BE"/>
        </w:rPr>
        <w:t>le</w:t>
      </w:r>
      <w:proofErr w:type="gramEnd"/>
      <w:r>
        <w:rPr>
          <w:lang w:val="fr-BE"/>
        </w:rPr>
        <w:t xml:space="preserve"> planning de collecte ;</w:t>
      </w:r>
    </w:p>
    <w:p w14:paraId="5D6A7787" w14:textId="080D39DF" w:rsidR="00DF5AAA" w:rsidRDefault="00DF5AAA" w:rsidP="00DF5AAA">
      <w:pPr>
        <w:pStyle w:val="ListParagraph"/>
        <w:numPr>
          <w:ilvl w:val="0"/>
          <w:numId w:val="25"/>
        </w:numPr>
        <w:spacing w:before="120"/>
        <w:jc w:val="both"/>
        <w:rPr>
          <w:lang w:val="fr-BE"/>
        </w:rPr>
      </w:pPr>
      <w:proofErr w:type="gramStart"/>
      <w:r>
        <w:rPr>
          <w:lang w:val="fr-BE"/>
        </w:rPr>
        <w:t>la</w:t>
      </w:r>
      <w:proofErr w:type="gramEnd"/>
      <w:r>
        <w:rPr>
          <w:lang w:val="fr-BE"/>
        </w:rPr>
        <w:t xml:space="preserve"> méthode de calcul la plus appropriée pour obtenir la valeur de l’indicateur.</w:t>
      </w:r>
    </w:p>
    <w:p w14:paraId="459EEF74" w14:textId="7E71DC67" w:rsidR="00DF5AAA" w:rsidRDefault="00DF5AAA" w:rsidP="00DF5AAA">
      <w:pPr>
        <w:pStyle w:val="ListParagraph"/>
        <w:numPr>
          <w:ilvl w:val="0"/>
          <w:numId w:val="0"/>
        </w:numPr>
        <w:spacing w:before="120"/>
        <w:ind w:left="2184"/>
        <w:jc w:val="both"/>
        <w:rPr>
          <w:lang w:val="fr-BE"/>
        </w:rPr>
      </w:pPr>
    </w:p>
    <w:p w14:paraId="712144B1" w14:textId="26E87ED0" w:rsidR="00DF5AAA" w:rsidRDefault="00DF5AAA" w:rsidP="00DF5AAA">
      <w:pPr>
        <w:pStyle w:val="ListParagraph"/>
        <w:numPr>
          <w:ilvl w:val="0"/>
          <w:numId w:val="24"/>
        </w:numPr>
        <w:spacing w:before="120"/>
        <w:jc w:val="both"/>
        <w:rPr>
          <w:lang w:val="fr-BE"/>
        </w:rPr>
      </w:pPr>
      <w:r>
        <w:rPr>
          <w:lang w:val="fr-BE"/>
        </w:rPr>
        <w:t>Le</w:t>
      </w:r>
      <w:r w:rsidR="006A66E7">
        <w:rPr>
          <w:lang w:val="fr-BE"/>
        </w:rPr>
        <w:t>/la</w:t>
      </w:r>
      <w:r>
        <w:rPr>
          <w:lang w:val="fr-BE"/>
        </w:rPr>
        <w:t xml:space="preserve"> consultant</w:t>
      </w:r>
      <w:r w:rsidR="006A66E7">
        <w:rPr>
          <w:lang w:val="fr-BE"/>
        </w:rPr>
        <w:t>(e)</w:t>
      </w:r>
      <w:r>
        <w:rPr>
          <w:lang w:val="fr-BE"/>
        </w:rPr>
        <w:t xml:space="preserve"> aura pris connaissance de la méthode de renseignement des indicateurs des activités des autres partenaires ACF et </w:t>
      </w:r>
      <w:proofErr w:type="spellStart"/>
      <w:r>
        <w:rPr>
          <w:lang w:val="fr-BE"/>
        </w:rPr>
        <w:t>Heifer</w:t>
      </w:r>
      <w:proofErr w:type="spellEnd"/>
      <w:r>
        <w:rPr>
          <w:lang w:val="fr-BE"/>
        </w:rPr>
        <w:t>. Et, il proposera une méthodologie pour la mise en place d’une base de données commune à l’ensemble des partenaires.</w:t>
      </w:r>
      <w:r w:rsidR="000E2C21">
        <w:rPr>
          <w:lang w:val="fr-BE"/>
        </w:rPr>
        <w:t xml:space="preserve"> Cette base de données devra permettre de visualiser les données désagrégées par partenaires, zones d’intervention et par genre. </w:t>
      </w:r>
    </w:p>
    <w:p w14:paraId="680D8F95" w14:textId="77777777" w:rsidR="003A51D1" w:rsidRPr="003A51D1" w:rsidRDefault="003A51D1" w:rsidP="003A51D1">
      <w:pPr>
        <w:spacing w:before="120"/>
        <w:rPr>
          <w:lang w:val="fr-BE"/>
        </w:rPr>
      </w:pPr>
    </w:p>
    <w:p w14:paraId="6DA77AC1" w14:textId="70A66444" w:rsidR="008F0086" w:rsidRPr="006C47F7" w:rsidRDefault="008F0086" w:rsidP="00CD5358">
      <w:pPr>
        <w:pStyle w:val="Heading2"/>
      </w:pPr>
      <w:r w:rsidRPr="006C47F7">
        <w:t>Pendant la mission</w:t>
      </w:r>
      <w:r w:rsidR="002B096B">
        <w:t xml:space="preserve"> </w:t>
      </w:r>
    </w:p>
    <w:p w14:paraId="191175DD" w14:textId="77777777" w:rsidR="00DF5AAA" w:rsidRDefault="00DF5AAA" w:rsidP="00DF5AAA">
      <w:pPr>
        <w:rPr>
          <w:lang w:val="fr-BE"/>
        </w:rPr>
      </w:pPr>
    </w:p>
    <w:p w14:paraId="24219D91" w14:textId="5C66D892" w:rsidR="00DF5AAA" w:rsidRDefault="000E2C21" w:rsidP="000E2C21">
      <w:pPr>
        <w:jc w:val="both"/>
        <w:rPr>
          <w:lang w:val="fr-BE"/>
        </w:rPr>
      </w:pPr>
      <w:proofErr w:type="gramStart"/>
      <w:r>
        <w:rPr>
          <w:lang w:val="fr-BE"/>
        </w:rPr>
        <w:t>Pendant  la</w:t>
      </w:r>
      <w:proofErr w:type="gramEnd"/>
      <w:r>
        <w:rPr>
          <w:lang w:val="fr-BE"/>
        </w:rPr>
        <w:t xml:space="preserve"> mission, le consultant sera basé à Passe-</w:t>
      </w:r>
      <w:proofErr w:type="spellStart"/>
      <w:r>
        <w:rPr>
          <w:lang w:val="fr-BE"/>
        </w:rPr>
        <w:t>Catabois</w:t>
      </w:r>
      <w:proofErr w:type="spellEnd"/>
      <w:r>
        <w:rPr>
          <w:lang w:val="fr-BE"/>
        </w:rPr>
        <w:t xml:space="preserve"> situé dans le département du </w:t>
      </w:r>
      <w:proofErr w:type="spellStart"/>
      <w:r>
        <w:rPr>
          <w:lang w:val="fr-BE"/>
        </w:rPr>
        <w:t>Nord Ouest</w:t>
      </w:r>
      <w:proofErr w:type="spellEnd"/>
      <w:r>
        <w:rPr>
          <w:lang w:val="fr-BE"/>
        </w:rPr>
        <w:t>, à 1h de route de Port de Paix.</w:t>
      </w:r>
    </w:p>
    <w:p w14:paraId="708F2FF4" w14:textId="54DF1C8B" w:rsidR="000E2C21" w:rsidRDefault="000E2C21" w:rsidP="000E2C21">
      <w:pPr>
        <w:jc w:val="both"/>
        <w:rPr>
          <w:lang w:val="fr-BE"/>
        </w:rPr>
      </w:pPr>
    </w:p>
    <w:p w14:paraId="53BEEDD2" w14:textId="3B73A99A" w:rsidR="000E2C21" w:rsidRDefault="000E2C21" w:rsidP="00D130DD">
      <w:pPr>
        <w:pStyle w:val="ListParagraph"/>
        <w:numPr>
          <w:ilvl w:val="0"/>
          <w:numId w:val="24"/>
        </w:numPr>
        <w:jc w:val="both"/>
        <w:rPr>
          <w:lang w:val="fr-BE"/>
        </w:rPr>
      </w:pPr>
      <w:r w:rsidRPr="00D130DD">
        <w:rPr>
          <w:lang w:val="fr-BE"/>
        </w:rPr>
        <w:t>En introduction de sa mission, le</w:t>
      </w:r>
      <w:r w:rsidR="006A66E7">
        <w:rPr>
          <w:lang w:val="fr-BE"/>
        </w:rPr>
        <w:t>/la</w:t>
      </w:r>
      <w:r w:rsidRPr="00D130DD">
        <w:rPr>
          <w:lang w:val="fr-BE"/>
        </w:rPr>
        <w:t xml:space="preserve"> consultant</w:t>
      </w:r>
      <w:r w:rsidR="006A66E7">
        <w:rPr>
          <w:lang w:val="fr-BE"/>
        </w:rPr>
        <w:t>(e)</w:t>
      </w:r>
      <w:r w:rsidRPr="00D130DD">
        <w:rPr>
          <w:lang w:val="fr-BE"/>
        </w:rPr>
        <w:t xml:space="preserve"> organisera une réunion de cadrage avec l’ensemble des partenaires du projet</w:t>
      </w:r>
      <w:r w:rsidR="00C072B0">
        <w:rPr>
          <w:lang w:val="fr-BE"/>
        </w:rPr>
        <w:t xml:space="preserve"> et en particulier avec les responsables S&amp;E</w:t>
      </w:r>
      <w:r w:rsidRPr="00D130DD">
        <w:rPr>
          <w:lang w:val="fr-BE"/>
        </w:rPr>
        <w:t>. Lors de cette rencontre il présentera une méthodologie pour l’élaboration d’une base de données commune</w:t>
      </w:r>
      <w:r w:rsidR="00561BDE">
        <w:rPr>
          <w:lang w:val="fr-BE"/>
        </w:rPr>
        <w:t>s</w:t>
      </w:r>
      <w:r w:rsidR="00D130DD" w:rsidRPr="00D130DD">
        <w:rPr>
          <w:lang w:val="fr-BE"/>
        </w:rPr>
        <w:t xml:space="preserve"> qui sera validée par les partenaires. Et, il pourra prendre contact avec ACF et HEIFER pour l’acquisition des données en leur possession</w:t>
      </w:r>
      <w:r w:rsidRPr="00D130DD">
        <w:rPr>
          <w:lang w:val="fr-BE"/>
        </w:rPr>
        <w:t xml:space="preserve">. </w:t>
      </w:r>
      <w:r w:rsidR="00D130DD" w:rsidRPr="00D130DD">
        <w:rPr>
          <w:lang w:val="fr-BE"/>
        </w:rPr>
        <w:t>En outre, c</w:t>
      </w:r>
      <w:r w:rsidRPr="00D130DD">
        <w:rPr>
          <w:lang w:val="fr-BE"/>
        </w:rPr>
        <w:t>ette rencontre devrait servir d’échange d’expérience au bénéfice du renforcement de capacité des partenaires</w:t>
      </w:r>
      <w:r w:rsidR="00C072B0">
        <w:rPr>
          <w:lang w:val="fr-BE"/>
        </w:rPr>
        <w:t xml:space="preserve"> et en particulier des responsables de S&amp;E du projet</w:t>
      </w:r>
      <w:r w:rsidRPr="00D130DD">
        <w:rPr>
          <w:lang w:val="fr-BE"/>
        </w:rPr>
        <w:t>.</w:t>
      </w:r>
    </w:p>
    <w:p w14:paraId="686B39E7" w14:textId="11A2650E" w:rsidR="00C072B0" w:rsidRDefault="00561BDE" w:rsidP="00C072B0">
      <w:pPr>
        <w:pStyle w:val="ListParagraph"/>
        <w:numPr>
          <w:ilvl w:val="0"/>
          <w:numId w:val="24"/>
        </w:numPr>
        <w:jc w:val="both"/>
        <w:rPr>
          <w:lang w:val="fr-BE"/>
        </w:rPr>
      </w:pPr>
      <w:r>
        <w:rPr>
          <w:lang w:val="fr-BE"/>
        </w:rPr>
        <w:t>Le</w:t>
      </w:r>
      <w:r w:rsidR="006A66E7">
        <w:rPr>
          <w:lang w:val="fr-BE"/>
        </w:rPr>
        <w:t>/la</w:t>
      </w:r>
      <w:r>
        <w:rPr>
          <w:lang w:val="fr-BE"/>
        </w:rPr>
        <w:t xml:space="preserve"> consultant</w:t>
      </w:r>
      <w:r w:rsidR="006A66E7">
        <w:rPr>
          <w:lang w:val="fr-BE"/>
        </w:rPr>
        <w:t>(e)</w:t>
      </w:r>
      <w:r>
        <w:rPr>
          <w:lang w:val="fr-BE"/>
        </w:rPr>
        <w:t xml:space="preserve"> organisera la collecte des données requises pour renseigner les indicateurs de suivi des activités de JFW/ODRINO sur le terrain : préparation des outils de collecte et de la logistique ; coaching de l’équipe de collecte ; encadrement sur le terrain pour s’assurer de la fiabilité des données</w:t>
      </w:r>
      <w:r w:rsidR="00CF5C23">
        <w:rPr>
          <w:lang w:val="fr-BE"/>
        </w:rPr>
        <w:t> ; centralisation des données.</w:t>
      </w:r>
    </w:p>
    <w:p w14:paraId="289BB971" w14:textId="627CA99D" w:rsidR="00C072B0" w:rsidRDefault="00C072B0" w:rsidP="00C072B0">
      <w:pPr>
        <w:pStyle w:val="ListParagraph"/>
        <w:numPr>
          <w:ilvl w:val="0"/>
          <w:numId w:val="24"/>
        </w:numPr>
        <w:jc w:val="both"/>
        <w:rPr>
          <w:lang w:val="fr-BE"/>
        </w:rPr>
      </w:pPr>
      <w:r>
        <w:rPr>
          <w:lang w:val="fr-BE"/>
        </w:rPr>
        <w:t xml:space="preserve">Selon </w:t>
      </w:r>
      <w:r w:rsidRPr="00C072B0">
        <w:rPr>
          <w:lang w:val="fr-BE"/>
        </w:rPr>
        <w:t>sa disponibilité et les opportunités</w:t>
      </w:r>
      <w:r>
        <w:rPr>
          <w:lang w:val="fr-BE"/>
        </w:rPr>
        <w:t>,</w:t>
      </w:r>
      <w:r w:rsidRPr="00C072B0">
        <w:rPr>
          <w:lang w:val="fr-BE"/>
        </w:rPr>
        <w:t xml:space="preserve"> le</w:t>
      </w:r>
      <w:r w:rsidR="006A66E7">
        <w:rPr>
          <w:lang w:val="fr-BE"/>
        </w:rPr>
        <w:t>/la</w:t>
      </w:r>
      <w:r w:rsidRPr="00C072B0">
        <w:rPr>
          <w:lang w:val="fr-BE"/>
        </w:rPr>
        <w:t xml:space="preserve"> consultant</w:t>
      </w:r>
      <w:r w:rsidR="006A66E7">
        <w:rPr>
          <w:lang w:val="fr-BE"/>
        </w:rPr>
        <w:t>(e)</w:t>
      </w:r>
      <w:r w:rsidRPr="00C072B0">
        <w:rPr>
          <w:lang w:val="fr-BE"/>
        </w:rPr>
        <w:t xml:space="preserve"> pourra participer </w:t>
      </w:r>
      <w:r w:rsidRPr="00C072B0">
        <w:rPr>
          <w:rFonts w:ascii="Calibri" w:eastAsia="Calibri" w:hAnsi="Calibri" w:cs="Times New Roman"/>
          <w:lang w:val="fr-FR"/>
        </w:rPr>
        <w:t>aux évaluations</w:t>
      </w:r>
      <w:r>
        <w:rPr>
          <w:rFonts w:ascii="Calibri" w:eastAsia="Calibri" w:hAnsi="Calibri" w:cs="Times New Roman"/>
          <w:lang w:val="fr-FR"/>
        </w:rPr>
        <w:t xml:space="preserve"> </w:t>
      </w:r>
      <w:r w:rsidR="00E63256">
        <w:rPr>
          <w:rFonts w:ascii="Calibri" w:eastAsia="Calibri" w:hAnsi="Calibri" w:cs="Times New Roman"/>
          <w:lang w:val="fr-FR"/>
        </w:rPr>
        <w:t xml:space="preserve">internes et/ou </w:t>
      </w:r>
      <w:r w:rsidRPr="00CC5FD5">
        <w:rPr>
          <w:rFonts w:ascii="Calibri" w:eastAsia="Calibri" w:hAnsi="Calibri" w:cs="Times New Roman"/>
          <w:lang w:val="fr-FR"/>
        </w:rPr>
        <w:t xml:space="preserve">externes (intermédiaire et finale) </w:t>
      </w:r>
      <w:r w:rsidR="00E63256">
        <w:rPr>
          <w:rFonts w:ascii="Calibri" w:eastAsia="Calibri" w:hAnsi="Calibri" w:cs="Times New Roman"/>
          <w:lang w:val="fr-FR"/>
        </w:rPr>
        <w:t>de projets</w:t>
      </w:r>
    </w:p>
    <w:p w14:paraId="338F416A" w14:textId="0BA73241" w:rsidR="00E509E1" w:rsidRPr="001B4320" w:rsidRDefault="00CF5C23" w:rsidP="00D329C9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Times New Roman"/>
          <w:lang w:val="fr-FR"/>
        </w:rPr>
      </w:pPr>
      <w:r w:rsidRPr="00E509E1">
        <w:rPr>
          <w:lang w:val="fr-BE"/>
        </w:rPr>
        <w:t xml:space="preserve">Avant de quitter Passe </w:t>
      </w:r>
      <w:proofErr w:type="spellStart"/>
      <w:r w:rsidRPr="00E509E1">
        <w:rPr>
          <w:lang w:val="fr-BE"/>
        </w:rPr>
        <w:t>catabois</w:t>
      </w:r>
      <w:proofErr w:type="spellEnd"/>
      <w:r w:rsidRPr="00E509E1">
        <w:rPr>
          <w:lang w:val="fr-BE"/>
        </w:rPr>
        <w:t xml:space="preserve">, le consultant tiendra une réunion de </w:t>
      </w:r>
      <w:proofErr w:type="gramStart"/>
      <w:r w:rsidRPr="00E509E1">
        <w:rPr>
          <w:lang w:val="fr-BE"/>
        </w:rPr>
        <w:t>debriefing</w:t>
      </w:r>
      <w:proofErr w:type="gramEnd"/>
      <w:r w:rsidRPr="00E509E1">
        <w:rPr>
          <w:lang w:val="fr-BE"/>
        </w:rPr>
        <w:t xml:space="preserve"> avec l’équipe de JFW/ODRINO.</w:t>
      </w:r>
    </w:p>
    <w:p w14:paraId="283F9BEA" w14:textId="77777777" w:rsidR="001B4320" w:rsidRPr="006F3B57" w:rsidRDefault="001B4320" w:rsidP="001B4320">
      <w:pPr>
        <w:pStyle w:val="ListParagraph"/>
        <w:numPr>
          <w:ilvl w:val="0"/>
          <w:numId w:val="0"/>
        </w:numPr>
        <w:ind w:left="720"/>
        <w:jc w:val="both"/>
        <w:rPr>
          <w:rFonts w:ascii="Calibri" w:eastAsia="Calibri" w:hAnsi="Calibri" w:cs="Times New Roman"/>
          <w:lang w:val="fr-FR"/>
        </w:rPr>
      </w:pPr>
    </w:p>
    <w:p w14:paraId="50D8BE43" w14:textId="1B8CAC90" w:rsidR="00085841" w:rsidRDefault="00E509E1" w:rsidP="00085841">
      <w:pPr>
        <w:ind w:left="360"/>
        <w:jc w:val="both"/>
        <w:rPr>
          <w:lang w:val="fr-BE"/>
        </w:rPr>
      </w:pPr>
      <w:r w:rsidRPr="00085841">
        <w:rPr>
          <w:lang w:val="fr-BE"/>
        </w:rPr>
        <w:t xml:space="preserve">Il aura </w:t>
      </w:r>
      <w:r w:rsidR="00E63256">
        <w:rPr>
          <w:lang w:val="fr-BE"/>
        </w:rPr>
        <w:t>p</w:t>
      </w:r>
      <w:r w:rsidR="00C927C2">
        <w:rPr>
          <w:lang w:val="fr-BE"/>
        </w:rPr>
        <w:t>lus spécifiquement</w:t>
      </w:r>
      <w:r w:rsidR="00085841">
        <w:rPr>
          <w:lang w:val="fr-BE"/>
        </w:rPr>
        <w:t> </w:t>
      </w:r>
      <w:r w:rsidRPr="00085841">
        <w:rPr>
          <w:lang w:val="fr-BE"/>
        </w:rPr>
        <w:t>à</w:t>
      </w:r>
      <w:r w:rsidR="00085841">
        <w:rPr>
          <w:lang w:val="fr-BE"/>
        </w:rPr>
        <w:t> :</w:t>
      </w:r>
      <w:r w:rsidRPr="00085841">
        <w:rPr>
          <w:lang w:val="fr-BE"/>
        </w:rPr>
        <w:t xml:space="preserve"> </w:t>
      </w:r>
    </w:p>
    <w:p w14:paraId="3C1926AD" w14:textId="5D5350F1" w:rsidR="00E509E1" w:rsidRDefault="00E509E1" w:rsidP="00085841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6F3B57">
        <w:rPr>
          <w:rFonts w:ascii="Calibri" w:eastAsia="Calibri" w:hAnsi="Calibri" w:cs="Times New Roman"/>
          <w:lang w:val="fr-FR"/>
        </w:rPr>
        <w:t>Former les collecteurs-</w:t>
      </w:r>
      <w:proofErr w:type="spellStart"/>
      <w:r w:rsidRPr="006F3B57">
        <w:rPr>
          <w:rFonts w:ascii="Calibri" w:eastAsia="Calibri" w:hAnsi="Calibri" w:cs="Times New Roman"/>
          <w:lang w:val="fr-FR"/>
        </w:rPr>
        <w:t>trices</w:t>
      </w:r>
      <w:proofErr w:type="spellEnd"/>
      <w:r w:rsidRPr="006F3B57">
        <w:rPr>
          <w:rFonts w:ascii="Calibri" w:eastAsia="Calibri" w:hAnsi="Calibri" w:cs="Times New Roman"/>
          <w:lang w:val="fr-FR"/>
        </w:rPr>
        <w:t xml:space="preserve"> de données (utilisation des tablettes, techniques </w:t>
      </w:r>
      <w:proofErr w:type="gramStart"/>
      <w:r w:rsidRPr="006F3B57">
        <w:rPr>
          <w:rFonts w:ascii="Calibri" w:eastAsia="Calibri" w:hAnsi="Calibri" w:cs="Times New Roman"/>
          <w:lang w:val="fr-FR"/>
        </w:rPr>
        <w:t>d’enquêtes,…</w:t>
      </w:r>
      <w:proofErr w:type="gramEnd"/>
      <w:r w:rsidRPr="006F3B57">
        <w:rPr>
          <w:rFonts w:ascii="Calibri" w:eastAsia="Calibri" w:hAnsi="Calibri" w:cs="Times New Roman"/>
          <w:lang w:val="fr-FR"/>
        </w:rPr>
        <w:t>);</w:t>
      </w:r>
    </w:p>
    <w:p w14:paraId="60551759" w14:textId="7E0BC502" w:rsidR="00193A8A" w:rsidRPr="006F3B57" w:rsidRDefault="00193A8A" w:rsidP="006F3B57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Recueillir les matériels de collecte de données après chaque enquête ;</w:t>
      </w:r>
      <w:r>
        <w:rPr>
          <w:rFonts w:ascii="Calibri" w:eastAsia="Calibri" w:hAnsi="Calibri" w:cs="Times New Roman"/>
          <w:lang w:val="fr-FR"/>
        </w:rPr>
        <w:t xml:space="preserve"> </w:t>
      </w:r>
    </w:p>
    <w:p w14:paraId="6A958D59" w14:textId="284A2AE4" w:rsidR="00085841" w:rsidRPr="00085841" w:rsidRDefault="00085841" w:rsidP="006F3B57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085841">
        <w:rPr>
          <w:rFonts w:ascii="Calibri" w:eastAsia="Calibri" w:hAnsi="Calibri" w:cs="Times New Roman"/>
          <w:lang w:val="fr-FR"/>
        </w:rPr>
        <w:t>Digitaliser les outils de collecte de données ;</w:t>
      </w:r>
    </w:p>
    <w:p w14:paraId="25046E96" w14:textId="73F5E908" w:rsidR="00085841" w:rsidRPr="00085841" w:rsidRDefault="00085841" w:rsidP="006F3B57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085841">
        <w:rPr>
          <w:rFonts w:ascii="Calibri" w:eastAsia="Calibri" w:hAnsi="Calibri" w:cs="Times New Roman"/>
          <w:lang w:val="fr-FR"/>
        </w:rPr>
        <w:t>Préparer le déploiement des collecteurs-</w:t>
      </w:r>
      <w:proofErr w:type="spellStart"/>
      <w:r w:rsidRPr="00085841">
        <w:rPr>
          <w:rFonts w:ascii="Calibri" w:eastAsia="Calibri" w:hAnsi="Calibri" w:cs="Times New Roman"/>
          <w:lang w:val="fr-FR"/>
        </w:rPr>
        <w:t>trices</w:t>
      </w:r>
      <w:proofErr w:type="spellEnd"/>
      <w:r w:rsidRPr="00085841">
        <w:rPr>
          <w:rFonts w:ascii="Calibri" w:eastAsia="Calibri" w:hAnsi="Calibri" w:cs="Times New Roman"/>
          <w:lang w:val="fr-FR"/>
        </w:rPr>
        <w:t xml:space="preserve"> sur le terrain ;</w:t>
      </w:r>
    </w:p>
    <w:p w14:paraId="5C9BBCAF" w14:textId="77777777" w:rsidR="00B9077E" w:rsidRDefault="00B9077E" w:rsidP="00B9077E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S’assurer de la disponibilité et de la fonctionnalité des matériels de collecte avant le déploiement des collecteurs-</w:t>
      </w:r>
      <w:proofErr w:type="spellStart"/>
      <w:r w:rsidRPr="005E35BE">
        <w:rPr>
          <w:rFonts w:ascii="Calibri" w:eastAsia="Calibri" w:hAnsi="Calibri" w:cs="Times New Roman"/>
          <w:lang w:val="fr-FR"/>
        </w:rPr>
        <w:t>trices</w:t>
      </w:r>
      <w:proofErr w:type="spellEnd"/>
      <w:r w:rsidRPr="005E35BE">
        <w:rPr>
          <w:rFonts w:ascii="Calibri" w:eastAsia="Calibri" w:hAnsi="Calibri" w:cs="Times New Roman"/>
          <w:lang w:val="fr-FR"/>
        </w:rPr>
        <w:t xml:space="preserve"> sur le terrain </w:t>
      </w:r>
    </w:p>
    <w:p w14:paraId="3613314E" w14:textId="7BB3729B" w:rsidR="00085841" w:rsidRPr="00085841" w:rsidRDefault="00085841" w:rsidP="006F3B57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085841">
        <w:rPr>
          <w:rFonts w:ascii="Calibri" w:eastAsia="Calibri" w:hAnsi="Calibri" w:cs="Times New Roman"/>
          <w:lang w:val="fr-FR"/>
        </w:rPr>
        <w:t>Suivre les collectes de données sur le terrain ;</w:t>
      </w:r>
    </w:p>
    <w:p w14:paraId="19575BC0" w14:textId="47C50958" w:rsidR="00085841" w:rsidRDefault="00085841" w:rsidP="00085841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085841">
        <w:rPr>
          <w:rFonts w:ascii="Calibri" w:eastAsia="Calibri" w:hAnsi="Calibri" w:cs="Times New Roman"/>
          <w:lang w:val="fr-FR"/>
        </w:rPr>
        <w:t>Recevoir les formulaires remplis</w:t>
      </w:r>
      <w:r w:rsidR="00690E4F">
        <w:rPr>
          <w:rFonts w:ascii="Calibri" w:eastAsia="Calibri" w:hAnsi="Calibri" w:cs="Times New Roman"/>
          <w:lang w:val="fr-FR"/>
        </w:rPr>
        <w:t> ;</w:t>
      </w:r>
    </w:p>
    <w:p w14:paraId="6D045CF7" w14:textId="5B6F746D" w:rsidR="00690E4F" w:rsidRDefault="00690E4F" w:rsidP="00085841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690E4F">
        <w:rPr>
          <w:rFonts w:ascii="Calibri" w:eastAsia="Calibri" w:hAnsi="Calibri" w:cs="Times New Roman"/>
          <w:lang w:val="fr-FR"/>
        </w:rPr>
        <w:lastRenderedPageBreak/>
        <w:t>Traiter les données collectées ;</w:t>
      </w:r>
    </w:p>
    <w:p w14:paraId="62D2544C" w14:textId="7EC4C057" w:rsidR="00085841" w:rsidRDefault="00085841" w:rsidP="00085841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Assurer la synchronisation des donnée</w:t>
      </w:r>
      <w:r w:rsidR="00E63256">
        <w:rPr>
          <w:rFonts w:ascii="Calibri" w:eastAsia="Calibri" w:hAnsi="Calibri" w:cs="Times New Roman"/>
          <w:lang w:val="fr-FR"/>
        </w:rPr>
        <w:t>s</w:t>
      </w:r>
      <w:r w:rsidR="002227E6">
        <w:rPr>
          <w:rFonts w:ascii="Calibri" w:eastAsia="Calibri" w:hAnsi="Calibri" w:cs="Times New Roman"/>
          <w:lang w:val="fr-FR"/>
        </w:rPr>
        <w:t> ;</w:t>
      </w:r>
    </w:p>
    <w:p w14:paraId="18EAE7D7" w14:textId="040D75B7" w:rsidR="002227E6" w:rsidRDefault="002227E6" w:rsidP="00085841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Mettre en place/renforcer le système de suivi ;</w:t>
      </w:r>
    </w:p>
    <w:p w14:paraId="3EA27A1E" w14:textId="5F752000" w:rsidR="00C927C2" w:rsidRPr="00085841" w:rsidRDefault="00C927C2" w:rsidP="006F3B57">
      <w:pPr>
        <w:pStyle w:val="ListParagraph"/>
        <w:numPr>
          <w:ilvl w:val="0"/>
          <w:numId w:val="30"/>
        </w:numPr>
        <w:jc w:val="both"/>
        <w:rPr>
          <w:rFonts w:ascii="Calibri" w:eastAsia="Calibri" w:hAnsi="Calibri" w:cs="Times New Roman"/>
          <w:lang w:val="fr-FR"/>
        </w:rPr>
      </w:pPr>
      <w:r>
        <w:rPr>
          <w:lang w:val="fr-FR"/>
        </w:rPr>
        <w:t xml:space="preserve">Faire le suivi avec tous les partenaires et ayant une bonne compréhension des indicateurs de suivi/gestion projet. </w:t>
      </w:r>
    </w:p>
    <w:p w14:paraId="1F635BC9" w14:textId="2BED8660" w:rsidR="00E509E1" w:rsidRDefault="00E509E1" w:rsidP="00D130DD">
      <w:pPr>
        <w:pStyle w:val="ListParagraph"/>
        <w:numPr>
          <w:ilvl w:val="0"/>
          <w:numId w:val="24"/>
        </w:numPr>
        <w:jc w:val="both"/>
        <w:rPr>
          <w:lang w:val="fr-BE"/>
        </w:rPr>
      </w:pPr>
    </w:p>
    <w:p w14:paraId="15F3D147" w14:textId="77777777" w:rsidR="000E2C21" w:rsidRDefault="000E2C21" w:rsidP="000E2C21">
      <w:pPr>
        <w:jc w:val="both"/>
        <w:rPr>
          <w:lang w:val="fr-BE"/>
        </w:rPr>
      </w:pPr>
    </w:p>
    <w:p w14:paraId="5FEEB374" w14:textId="1F7EAB79" w:rsidR="00561BDE" w:rsidRPr="006C47F7" w:rsidRDefault="000E2C21" w:rsidP="00561BDE">
      <w:pPr>
        <w:pStyle w:val="Heading2"/>
      </w:pPr>
      <w:r>
        <w:rPr>
          <w:lang w:val="fr-BE"/>
        </w:rPr>
        <w:t xml:space="preserve"> </w:t>
      </w:r>
      <w:r w:rsidR="00561BDE">
        <w:t>Livrables après</w:t>
      </w:r>
      <w:r w:rsidR="00561BDE" w:rsidRPr="006C47F7">
        <w:t xml:space="preserve"> la mission</w:t>
      </w:r>
    </w:p>
    <w:p w14:paraId="0E56DFBC" w14:textId="63674DFE" w:rsidR="000E2C21" w:rsidRDefault="000E2C21" w:rsidP="000E2C21">
      <w:pPr>
        <w:jc w:val="both"/>
        <w:rPr>
          <w:lang w:val="fr-BE"/>
        </w:rPr>
      </w:pPr>
    </w:p>
    <w:p w14:paraId="7CF87ADF" w14:textId="2C6E1AA2" w:rsidR="000E2C21" w:rsidRDefault="00561BDE" w:rsidP="000E2C21">
      <w:pPr>
        <w:jc w:val="both"/>
        <w:rPr>
          <w:lang w:val="fr-BE"/>
        </w:rPr>
      </w:pPr>
      <w:r>
        <w:rPr>
          <w:lang w:val="fr-BE"/>
        </w:rPr>
        <w:t xml:space="preserve">Après sa mission de terrain à Passe </w:t>
      </w:r>
      <w:proofErr w:type="spellStart"/>
      <w:r>
        <w:rPr>
          <w:lang w:val="fr-BE"/>
        </w:rPr>
        <w:t>Catabois</w:t>
      </w:r>
      <w:proofErr w:type="spellEnd"/>
      <w:r>
        <w:rPr>
          <w:lang w:val="fr-BE"/>
        </w:rPr>
        <w:t>, le consultant devra</w:t>
      </w:r>
      <w:r w:rsidR="00CF5C23">
        <w:rPr>
          <w:lang w:val="fr-BE"/>
        </w:rPr>
        <w:t xml:space="preserve"> fournir</w:t>
      </w:r>
      <w:r>
        <w:rPr>
          <w:lang w:val="fr-BE"/>
        </w:rPr>
        <w:t> </w:t>
      </w:r>
      <w:r w:rsidR="00334BCA">
        <w:rPr>
          <w:lang w:val="fr-BE"/>
        </w:rPr>
        <w:t xml:space="preserve">les 4 livrables </w:t>
      </w:r>
      <w:proofErr w:type="gramStart"/>
      <w:r w:rsidR="00334BCA">
        <w:rPr>
          <w:lang w:val="fr-BE"/>
        </w:rPr>
        <w:t>suivants</w:t>
      </w:r>
      <w:r>
        <w:rPr>
          <w:lang w:val="fr-BE"/>
        </w:rPr>
        <w:t>:</w:t>
      </w:r>
      <w:proofErr w:type="gramEnd"/>
    </w:p>
    <w:p w14:paraId="2B885BA9" w14:textId="29313BDC" w:rsidR="00561BDE" w:rsidRDefault="00561BDE" w:rsidP="000E2C21">
      <w:pPr>
        <w:jc w:val="both"/>
        <w:rPr>
          <w:lang w:val="fr-BE"/>
        </w:rPr>
      </w:pPr>
    </w:p>
    <w:p w14:paraId="472570F7" w14:textId="77777777" w:rsidR="00C072B0" w:rsidRDefault="00561BDE" w:rsidP="00C072B0">
      <w:pPr>
        <w:pStyle w:val="ListParagraph"/>
        <w:numPr>
          <w:ilvl w:val="6"/>
          <w:numId w:val="16"/>
        </w:numPr>
        <w:tabs>
          <w:tab w:val="clear" w:pos="2659"/>
          <w:tab w:val="num" w:pos="993"/>
        </w:tabs>
        <w:ind w:hanging="1950"/>
        <w:jc w:val="both"/>
        <w:rPr>
          <w:lang w:val="fr-BE"/>
        </w:rPr>
      </w:pPr>
      <w:r>
        <w:rPr>
          <w:lang w:val="fr-BE"/>
        </w:rPr>
        <w:t>Un fichier Excel avec l’ensemble des données brutes nécessaires au renseignement des</w:t>
      </w:r>
    </w:p>
    <w:p w14:paraId="56B6B0DC" w14:textId="77777777" w:rsidR="00C072B0" w:rsidRDefault="00561BDE" w:rsidP="00C072B0">
      <w:pPr>
        <w:ind w:left="709"/>
        <w:rPr>
          <w:lang w:val="fr-BE"/>
        </w:rPr>
      </w:pPr>
      <w:proofErr w:type="gramStart"/>
      <w:r w:rsidRPr="00C072B0">
        <w:rPr>
          <w:lang w:val="fr-BE"/>
        </w:rPr>
        <w:t>indicateurs</w:t>
      </w:r>
      <w:proofErr w:type="gramEnd"/>
      <w:r w:rsidRPr="00C072B0">
        <w:rPr>
          <w:lang w:val="fr-BE"/>
        </w:rPr>
        <w:t xml:space="preserve"> de suivi des activités de JFW/ODRINO. Ce fichier sera clairement organisé par zone d’intervention (bassin versant et localités) </w:t>
      </w:r>
      <w:r w:rsidR="00CF5C23" w:rsidRPr="00C072B0">
        <w:rPr>
          <w:lang w:val="fr-BE"/>
        </w:rPr>
        <w:t>et, quand cela est utile/</w:t>
      </w:r>
      <w:proofErr w:type="gramStart"/>
      <w:r w:rsidR="00CF5C23" w:rsidRPr="00C072B0">
        <w:rPr>
          <w:lang w:val="fr-BE"/>
        </w:rPr>
        <w:t>possible,  par</w:t>
      </w:r>
      <w:proofErr w:type="gramEnd"/>
      <w:r w:rsidR="00CF5C23" w:rsidRPr="00C072B0">
        <w:rPr>
          <w:lang w:val="fr-BE"/>
        </w:rPr>
        <w:t xml:space="preserve"> genre ;</w:t>
      </w:r>
    </w:p>
    <w:p w14:paraId="0F265458" w14:textId="77777777" w:rsidR="00C072B0" w:rsidRDefault="00561BDE" w:rsidP="00C072B0">
      <w:pPr>
        <w:pStyle w:val="ListParagraph"/>
        <w:numPr>
          <w:ilvl w:val="6"/>
          <w:numId w:val="16"/>
        </w:numPr>
        <w:tabs>
          <w:tab w:val="clear" w:pos="2659"/>
          <w:tab w:val="num" w:pos="993"/>
        </w:tabs>
        <w:ind w:hanging="1950"/>
        <w:jc w:val="both"/>
        <w:rPr>
          <w:lang w:val="fr-BE"/>
        </w:rPr>
      </w:pPr>
      <w:r w:rsidRPr="00C072B0">
        <w:rPr>
          <w:lang w:val="fr-BE"/>
        </w:rPr>
        <w:t xml:space="preserve">Un fichier </w:t>
      </w:r>
      <w:r w:rsidR="00C072B0" w:rsidRPr="00C072B0">
        <w:rPr>
          <w:lang w:val="fr-BE"/>
        </w:rPr>
        <w:t>E</w:t>
      </w:r>
      <w:r w:rsidRPr="00C072B0">
        <w:rPr>
          <w:lang w:val="fr-BE"/>
        </w:rPr>
        <w:t>xcel avec les indicateurs de suivi des activités de JFW/ODRINO renseignés</w:t>
      </w:r>
      <w:r w:rsidR="00CF5C23" w:rsidRPr="00C072B0">
        <w:rPr>
          <w:lang w:val="fr-BE"/>
        </w:rPr>
        <w:t xml:space="preserve"> et </w:t>
      </w:r>
      <w:proofErr w:type="gramStart"/>
      <w:r w:rsidR="00CF5C23" w:rsidRPr="00C072B0">
        <w:rPr>
          <w:lang w:val="fr-BE"/>
        </w:rPr>
        <w:t>la</w:t>
      </w:r>
      <w:proofErr w:type="gramEnd"/>
    </w:p>
    <w:p w14:paraId="1D12C6DC" w14:textId="77777777" w:rsidR="00C072B0" w:rsidRDefault="00CF5C23" w:rsidP="00C072B0">
      <w:pPr>
        <w:ind w:left="709"/>
        <w:jc w:val="both"/>
        <w:rPr>
          <w:lang w:val="fr-BE"/>
        </w:rPr>
      </w:pPr>
      <w:proofErr w:type="gramStart"/>
      <w:r w:rsidRPr="00C072B0">
        <w:rPr>
          <w:lang w:val="fr-BE"/>
        </w:rPr>
        <w:t>méthode</w:t>
      </w:r>
      <w:proofErr w:type="gramEnd"/>
      <w:r w:rsidRPr="00C072B0">
        <w:rPr>
          <w:lang w:val="fr-BE"/>
        </w:rPr>
        <w:t xml:space="preserve"> de calcul utilisée ;</w:t>
      </w:r>
    </w:p>
    <w:p w14:paraId="0FC41627" w14:textId="1700728D" w:rsidR="00C072B0" w:rsidRDefault="00CF5C23" w:rsidP="00C072B0">
      <w:pPr>
        <w:pStyle w:val="ListParagraph"/>
        <w:numPr>
          <w:ilvl w:val="6"/>
          <w:numId w:val="16"/>
        </w:numPr>
        <w:tabs>
          <w:tab w:val="clear" w:pos="2659"/>
          <w:tab w:val="num" w:pos="993"/>
        </w:tabs>
        <w:ind w:hanging="1950"/>
        <w:jc w:val="both"/>
        <w:rPr>
          <w:lang w:val="fr-BE"/>
        </w:rPr>
      </w:pPr>
      <w:r w:rsidRPr="00C072B0">
        <w:rPr>
          <w:lang w:val="fr-BE"/>
        </w:rPr>
        <w:t>Une base de données commune</w:t>
      </w:r>
      <w:r w:rsidR="00334BCA">
        <w:rPr>
          <w:lang w:val="fr-BE"/>
        </w:rPr>
        <w:t>s</w:t>
      </w:r>
      <w:r w:rsidRPr="00C072B0">
        <w:rPr>
          <w:lang w:val="fr-BE"/>
        </w:rPr>
        <w:t xml:space="preserve"> à tous les partenaires du projet ;</w:t>
      </w:r>
    </w:p>
    <w:p w14:paraId="3A64AAE3" w14:textId="53AC8C03" w:rsidR="00CF2441" w:rsidRPr="00C072B0" w:rsidRDefault="00FF41B8" w:rsidP="00C072B0">
      <w:pPr>
        <w:pStyle w:val="ListParagraph"/>
        <w:numPr>
          <w:ilvl w:val="6"/>
          <w:numId w:val="16"/>
        </w:numPr>
        <w:tabs>
          <w:tab w:val="clear" w:pos="2659"/>
          <w:tab w:val="num" w:pos="993"/>
        </w:tabs>
        <w:ind w:hanging="1950"/>
        <w:jc w:val="both"/>
        <w:rPr>
          <w:lang w:val="fr-BE"/>
        </w:rPr>
      </w:pPr>
      <w:r>
        <w:t>Un rapport de mission qui présentera de manière succinct</w:t>
      </w:r>
      <w:r w:rsidR="00690E4F">
        <w:t xml:space="preserve"> </w:t>
      </w:r>
      <w:r w:rsidR="00CF2441">
        <w:t>:</w:t>
      </w:r>
    </w:p>
    <w:p w14:paraId="633BFB6D" w14:textId="3A144A56" w:rsidR="00CF2441" w:rsidRPr="00CF2441" w:rsidRDefault="00FF41B8" w:rsidP="00CF2441">
      <w:pPr>
        <w:pStyle w:val="ListParagraph"/>
        <w:numPr>
          <w:ilvl w:val="0"/>
          <w:numId w:val="27"/>
        </w:numPr>
        <w:jc w:val="both"/>
        <w:rPr>
          <w:lang w:val="fr-BE"/>
        </w:rPr>
      </w:pPr>
      <w:r>
        <w:t>la méthode de collecte et de calcul des indicateurs de suivi des activités de JFW/ODRINO et des recommandations pour la bonne réalisation de la collecte des données sur le terrain, ce sur base de l’expérience vécue</w:t>
      </w:r>
      <w:r w:rsidR="00CF2441">
        <w:t>;</w:t>
      </w:r>
    </w:p>
    <w:p w14:paraId="3774860E" w14:textId="0D1976DE" w:rsidR="00CF2441" w:rsidRPr="00C072B0" w:rsidRDefault="00CF2441" w:rsidP="00CF2441">
      <w:pPr>
        <w:pStyle w:val="ListParagraph"/>
        <w:numPr>
          <w:ilvl w:val="0"/>
          <w:numId w:val="27"/>
        </w:numPr>
        <w:jc w:val="both"/>
        <w:rPr>
          <w:lang w:val="fr-BE"/>
        </w:rPr>
      </w:pPr>
      <w:r>
        <w:t>Une analyse critique des valeurs des indicateurs obtenues, en vue de réorienter le projet;</w:t>
      </w:r>
    </w:p>
    <w:p w14:paraId="24F1CABD" w14:textId="0D2CA980" w:rsidR="00C072B0" w:rsidRPr="00CF2441" w:rsidRDefault="00C072B0" w:rsidP="00CF2441">
      <w:pPr>
        <w:pStyle w:val="ListParagraph"/>
        <w:numPr>
          <w:ilvl w:val="0"/>
          <w:numId w:val="27"/>
        </w:numPr>
        <w:jc w:val="both"/>
        <w:rPr>
          <w:lang w:val="fr-BE"/>
        </w:rPr>
      </w:pPr>
      <w:r>
        <w:t>Une proposition de planning pour la poursuite du S&amp;E interne par l’équipe projet après son intervention;</w:t>
      </w:r>
    </w:p>
    <w:p w14:paraId="06D04638" w14:textId="07373975" w:rsidR="00FF41B8" w:rsidRPr="00334BCA" w:rsidRDefault="00CF2441" w:rsidP="00CF2441">
      <w:pPr>
        <w:pStyle w:val="ListParagraph"/>
        <w:numPr>
          <w:ilvl w:val="0"/>
          <w:numId w:val="27"/>
        </w:numPr>
        <w:jc w:val="both"/>
        <w:rPr>
          <w:lang w:val="fr-BE"/>
        </w:rPr>
      </w:pPr>
      <w:r>
        <w:t>Une note explicative sur le fonctionnement de la base de données communes;</w:t>
      </w:r>
    </w:p>
    <w:p w14:paraId="07834B33" w14:textId="3914FF86" w:rsidR="00690E4F" w:rsidRPr="006F3B57" w:rsidRDefault="00334BCA" w:rsidP="00690E4F">
      <w:pPr>
        <w:pStyle w:val="ListParagraph"/>
        <w:numPr>
          <w:ilvl w:val="0"/>
          <w:numId w:val="27"/>
        </w:numPr>
        <w:jc w:val="both"/>
        <w:rPr>
          <w:lang w:val="fr-BE"/>
        </w:rPr>
      </w:pPr>
      <w:r>
        <w:t>Des recommandations pour le renforccement de capacités de l’équipe projet en matière de S&amp;E</w:t>
      </w:r>
      <w:r w:rsidR="00690E4F" w:rsidRPr="006F3B57">
        <w:rPr>
          <w:lang w:val="fr-BE"/>
        </w:rPr>
        <w:t>.</w:t>
      </w:r>
    </w:p>
    <w:p w14:paraId="110608FA" w14:textId="1D84306D" w:rsidR="00690E4F" w:rsidRPr="00FF41B8" w:rsidRDefault="00690E4F" w:rsidP="006F3B57">
      <w:pPr>
        <w:pStyle w:val="ListParagraph"/>
        <w:numPr>
          <w:ilvl w:val="0"/>
          <w:numId w:val="0"/>
        </w:numPr>
        <w:ind w:left="1488"/>
        <w:jc w:val="both"/>
        <w:rPr>
          <w:lang w:val="fr-BE"/>
        </w:rPr>
      </w:pPr>
    </w:p>
    <w:p w14:paraId="472E9A71" w14:textId="66624AB1" w:rsidR="00B9077E" w:rsidRPr="001323FF" w:rsidRDefault="00B9077E" w:rsidP="006F3B57">
      <w:pPr>
        <w:pStyle w:val="Heading2"/>
        <w:numPr>
          <w:ilvl w:val="0"/>
          <w:numId w:val="0"/>
        </w:numPr>
        <w:ind w:left="709"/>
        <w:rPr>
          <w:rFonts w:eastAsia="Calibri" w:cstheme="minorHAnsi"/>
          <w:i/>
          <w:iCs/>
          <w:lang w:val="fr-FR"/>
        </w:rPr>
      </w:pPr>
      <w:r w:rsidRPr="001323FF">
        <w:rPr>
          <w:rFonts w:eastAsia="Calibri" w:cstheme="minorHAnsi"/>
          <w:i/>
          <w:iCs/>
          <w:lang w:val="fr-FR"/>
        </w:rPr>
        <w:t>3.</w:t>
      </w:r>
      <w:r>
        <w:rPr>
          <w:rFonts w:eastAsia="Calibri" w:cstheme="minorHAnsi"/>
          <w:i/>
          <w:iCs/>
          <w:lang w:val="fr-FR"/>
        </w:rPr>
        <w:t>4</w:t>
      </w:r>
      <w:r w:rsidRPr="001323FF">
        <w:rPr>
          <w:rFonts w:eastAsia="Calibri" w:cstheme="minorHAnsi"/>
          <w:i/>
          <w:iCs/>
          <w:lang w:val="fr-FR"/>
        </w:rPr>
        <w:t>. Autres responsabilités</w:t>
      </w:r>
    </w:p>
    <w:p w14:paraId="61E7C873" w14:textId="7A14B749" w:rsidR="00B9077E" w:rsidRPr="006F3B57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6F3B57">
        <w:rPr>
          <w:rFonts w:ascii="Calibri" w:eastAsia="Calibri" w:hAnsi="Calibri" w:cs="Times New Roman"/>
          <w:lang w:val="fr-FR"/>
        </w:rPr>
        <w:t>Participer aux rencontres stratégiques des projets ;</w:t>
      </w:r>
    </w:p>
    <w:p w14:paraId="25A57C1A" w14:textId="394918EC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Vérifier la fiabilité des données collectées ;</w:t>
      </w:r>
    </w:p>
    <w:p w14:paraId="5896B6C1" w14:textId="5F16C374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 xml:space="preserve">Réaliser des rencontres avec les </w:t>
      </w:r>
      <w:bookmarkStart w:id="0" w:name="_Hlk62163935"/>
      <w:r w:rsidRPr="005E35BE">
        <w:rPr>
          <w:rFonts w:ascii="Calibri" w:eastAsia="Calibri" w:hAnsi="Calibri" w:cs="Times New Roman"/>
          <w:lang w:val="fr-FR"/>
        </w:rPr>
        <w:t>responsables de suivi-évaluation des membres du consortium du projet GIRE-SECALM</w:t>
      </w:r>
      <w:bookmarkEnd w:id="0"/>
      <w:r w:rsidR="00E63256">
        <w:rPr>
          <w:rFonts w:ascii="Calibri" w:eastAsia="Calibri" w:hAnsi="Calibri" w:cs="Times New Roman"/>
          <w:lang w:val="fr-FR"/>
        </w:rPr>
        <w:t xml:space="preserve"> et PASANAPROS</w:t>
      </w:r>
      <w:r w:rsidRPr="005E35BE">
        <w:rPr>
          <w:rFonts w:ascii="Calibri" w:eastAsia="Calibri" w:hAnsi="Calibri" w:cs="Times New Roman"/>
          <w:lang w:val="fr-FR"/>
        </w:rPr>
        <w:t> ;</w:t>
      </w:r>
    </w:p>
    <w:p w14:paraId="28EDE4A1" w14:textId="37E688B5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 xml:space="preserve">Réaliser des visites d’échanges avec </w:t>
      </w:r>
      <w:proofErr w:type="gramStart"/>
      <w:r w:rsidRPr="005E35BE">
        <w:rPr>
          <w:rFonts w:ascii="Calibri" w:eastAsia="Calibri" w:hAnsi="Calibri" w:cs="Times New Roman"/>
          <w:lang w:val="fr-FR"/>
        </w:rPr>
        <w:t>les  responsables</w:t>
      </w:r>
      <w:proofErr w:type="gramEnd"/>
      <w:r w:rsidRPr="005E35BE">
        <w:rPr>
          <w:rFonts w:ascii="Calibri" w:eastAsia="Calibri" w:hAnsi="Calibri" w:cs="Times New Roman"/>
          <w:lang w:val="fr-FR"/>
        </w:rPr>
        <w:t xml:space="preserve"> de suivi-évaluation des membres du consortium du projet GIRE-SECALM</w:t>
      </w:r>
      <w:r w:rsidR="00E63256">
        <w:rPr>
          <w:rFonts w:ascii="Calibri" w:eastAsia="Calibri" w:hAnsi="Calibri" w:cs="Times New Roman"/>
          <w:lang w:val="fr-FR"/>
        </w:rPr>
        <w:t xml:space="preserve"> et PASNAPROS</w:t>
      </w:r>
      <w:r w:rsidRPr="005E35BE">
        <w:rPr>
          <w:rFonts w:ascii="Calibri" w:eastAsia="Calibri" w:hAnsi="Calibri" w:cs="Times New Roman"/>
          <w:lang w:val="fr-FR"/>
        </w:rPr>
        <w:t> ;</w:t>
      </w:r>
    </w:p>
    <w:p w14:paraId="4968B826" w14:textId="330C8D0B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Renforcer les capacités des responsables de suivi-évaluation des membres du consortium du projet GIRE-SECALM</w:t>
      </w:r>
      <w:r w:rsidR="00E63256">
        <w:rPr>
          <w:rFonts w:ascii="Calibri" w:eastAsia="Calibri" w:hAnsi="Calibri" w:cs="Times New Roman"/>
          <w:lang w:val="fr-FR"/>
        </w:rPr>
        <w:t xml:space="preserve"> ET </w:t>
      </w:r>
      <w:proofErr w:type="gramStart"/>
      <w:r w:rsidR="00E63256">
        <w:rPr>
          <w:rFonts w:ascii="Calibri" w:eastAsia="Calibri" w:hAnsi="Calibri" w:cs="Times New Roman"/>
          <w:lang w:val="fr-FR"/>
        </w:rPr>
        <w:t>PASANAPROS</w:t>
      </w:r>
      <w:r w:rsidRPr="005E35BE">
        <w:rPr>
          <w:rFonts w:ascii="Calibri" w:eastAsia="Calibri" w:hAnsi="Calibri" w:cs="Times New Roman"/>
          <w:lang w:val="fr-FR"/>
        </w:rPr>
        <w:t>;</w:t>
      </w:r>
      <w:proofErr w:type="gramEnd"/>
    </w:p>
    <w:p w14:paraId="516D6478" w14:textId="09DAF966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>Appuyer les responsables de suivi-évaluation des membres du consortium du projet GIRE-SECALM dans la préparation des évaluations externes du projet ;</w:t>
      </w:r>
    </w:p>
    <w:p w14:paraId="6CB42130" w14:textId="34C12DE0" w:rsidR="00B9077E" w:rsidRPr="005E35BE" w:rsidRDefault="00B9077E" w:rsidP="006F3B57">
      <w:pPr>
        <w:pStyle w:val="ListParagraph"/>
        <w:numPr>
          <w:ilvl w:val="0"/>
          <w:numId w:val="33"/>
        </w:numPr>
        <w:jc w:val="both"/>
        <w:rPr>
          <w:rFonts w:ascii="Calibri" w:eastAsia="Calibri" w:hAnsi="Calibri" w:cs="Times New Roman"/>
          <w:lang w:val="fr-FR"/>
        </w:rPr>
      </w:pPr>
      <w:r w:rsidRPr="005E35BE">
        <w:rPr>
          <w:rFonts w:ascii="Calibri" w:eastAsia="Calibri" w:hAnsi="Calibri" w:cs="Times New Roman"/>
          <w:lang w:val="fr-FR"/>
        </w:rPr>
        <w:t xml:space="preserve">Faire le lien entre </w:t>
      </w:r>
      <w:proofErr w:type="spellStart"/>
      <w:r w:rsidRPr="005E35BE">
        <w:rPr>
          <w:rFonts w:ascii="Calibri" w:eastAsia="Calibri" w:hAnsi="Calibri" w:cs="Times New Roman"/>
          <w:lang w:val="fr-FR"/>
        </w:rPr>
        <w:t>Join</w:t>
      </w:r>
      <w:proofErr w:type="spellEnd"/>
      <w:r w:rsidRPr="005E35BE">
        <w:rPr>
          <w:rFonts w:ascii="Calibri" w:eastAsia="Calibri" w:hAnsi="Calibri" w:cs="Times New Roman"/>
          <w:lang w:val="fr-FR"/>
        </w:rPr>
        <w:t xml:space="preserve"> for Water/Protos-ODRINO et le</w:t>
      </w:r>
      <w:r w:rsidR="0036216D">
        <w:rPr>
          <w:rFonts w:ascii="Calibri" w:eastAsia="Calibri" w:hAnsi="Calibri" w:cs="Times New Roman"/>
          <w:lang w:val="fr-FR"/>
        </w:rPr>
        <w:t>s</w:t>
      </w:r>
      <w:r w:rsidRPr="005E35BE">
        <w:rPr>
          <w:rFonts w:ascii="Calibri" w:eastAsia="Calibri" w:hAnsi="Calibri" w:cs="Times New Roman"/>
          <w:lang w:val="fr-FR"/>
        </w:rPr>
        <w:t xml:space="preserve"> responsable</w:t>
      </w:r>
      <w:r w:rsidR="0036216D">
        <w:rPr>
          <w:rFonts w:ascii="Calibri" w:eastAsia="Calibri" w:hAnsi="Calibri" w:cs="Times New Roman"/>
          <w:lang w:val="fr-FR"/>
        </w:rPr>
        <w:t>s</w:t>
      </w:r>
      <w:r w:rsidRPr="005E35BE">
        <w:rPr>
          <w:rFonts w:ascii="Calibri" w:eastAsia="Calibri" w:hAnsi="Calibri" w:cs="Times New Roman"/>
          <w:lang w:val="fr-FR"/>
        </w:rPr>
        <w:t xml:space="preserve"> suivi-évaluation d</w:t>
      </w:r>
      <w:r w:rsidR="0036216D">
        <w:rPr>
          <w:rFonts w:ascii="Calibri" w:eastAsia="Calibri" w:hAnsi="Calibri" w:cs="Times New Roman"/>
          <w:lang w:val="fr-FR"/>
        </w:rPr>
        <w:t>es</w:t>
      </w:r>
      <w:r w:rsidRPr="005E35BE">
        <w:rPr>
          <w:rFonts w:ascii="Calibri" w:eastAsia="Calibri" w:hAnsi="Calibri" w:cs="Times New Roman"/>
          <w:lang w:val="fr-FR"/>
        </w:rPr>
        <w:t xml:space="preserve"> projet</w:t>
      </w:r>
      <w:r w:rsidR="0036216D">
        <w:rPr>
          <w:rFonts w:ascii="Calibri" w:eastAsia="Calibri" w:hAnsi="Calibri" w:cs="Times New Roman"/>
          <w:lang w:val="fr-FR"/>
        </w:rPr>
        <w:t>s</w:t>
      </w:r>
      <w:r w:rsidRPr="005E35BE">
        <w:rPr>
          <w:rFonts w:ascii="Calibri" w:eastAsia="Calibri" w:hAnsi="Calibri" w:cs="Times New Roman"/>
          <w:lang w:val="fr-FR"/>
        </w:rPr>
        <w:t xml:space="preserve"> </w:t>
      </w:r>
      <w:r w:rsidR="0036216D">
        <w:rPr>
          <w:rFonts w:ascii="Calibri" w:eastAsia="Calibri" w:hAnsi="Calibri" w:cs="Times New Roman"/>
          <w:lang w:val="fr-FR"/>
        </w:rPr>
        <w:t xml:space="preserve">GIRESECALM et </w:t>
      </w:r>
      <w:r w:rsidRPr="005E35BE">
        <w:rPr>
          <w:rFonts w:ascii="Calibri" w:eastAsia="Calibri" w:hAnsi="Calibri" w:cs="Times New Roman"/>
          <w:lang w:val="fr-FR"/>
        </w:rPr>
        <w:t>PASAN-APROS.</w:t>
      </w:r>
    </w:p>
    <w:p w14:paraId="52A4E956" w14:textId="1B986E99" w:rsidR="000E2C21" w:rsidRPr="006F3B57" w:rsidRDefault="000E2C21" w:rsidP="00DF5AAA">
      <w:pPr>
        <w:rPr>
          <w:lang w:val="fr-FR"/>
        </w:rPr>
      </w:pPr>
    </w:p>
    <w:p w14:paraId="38A1671B" w14:textId="2DEA2814" w:rsidR="006A66E7" w:rsidRDefault="00334BCA" w:rsidP="00334BCA">
      <w:pPr>
        <w:jc w:val="both"/>
        <w:rPr>
          <w:lang w:val="fr-BE"/>
        </w:rPr>
      </w:pPr>
      <w:r>
        <w:rPr>
          <w:lang w:val="fr-BE"/>
        </w:rPr>
        <w:t>Notons, que le</w:t>
      </w:r>
      <w:r w:rsidR="006A66E7">
        <w:rPr>
          <w:lang w:val="fr-BE"/>
        </w:rPr>
        <w:t>/la</w:t>
      </w:r>
      <w:r>
        <w:rPr>
          <w:lang w:val="fr-BE"/>
        </w:rPr>
        <w:t xml:space="preserve"> consultant</w:t>
      </w:r>
      <w:r w:rsidR="006A66E7">
        <w:rPr>
          <w:lang w:val="fr-BE"/>
        </w:rPr>
        <w:t>(e)</w:t>
      </w:r>
      <w:r>
        <w:rPr>
          <w:lang w:val="fr-BE"/>
        </w:rPr>
        <w:t xml:space="preserve"> veillera à la confidentialité des données qui seront la propriété des responsables d</w:t>
      </w:r>
      <w:r w:rsidR="0036216D">
        <w:rPr>
          <w:lang w:val="fr-BE"/>
        </w:rPr>
        <w:t>e JFW et ses partenaires</w:t>
      </w:r>
      <w:r>
        <w:rPr>
          <w:lang w:val="fr-BE"/>
        </w:rPr>
        <w:t>.</w:t>
      </w:r>
    </w:p>
    <w:p w14:paraId="0B105472" w14:textId="0C845057" w:rsidR="006A66E7" w:rsidRDefault="006A66E7" w:rsidP="00334BCA">
      <w:pPr>
        <w:jc w:val="both"/>
        <w:rPr>
          <w:lang w:val="fr-BE"/>
        </w:rPr>
      </w:pPr>
    </w:p>
    <w:p w14:paraId="4B0AD28D" w14:textId="793C46DB" w:rsidR="006A66E7" w:rsidRDefault="006A66E7" w:rsidP="00334BCA">
      <w:pPr>
        <w:jc w:val="both"/>
        <w:rPr>
          <w:lang w:val="fr-BE"/>
        </w:rPr>
      </w:pPr>
    </w:p>
    <w:p w14:paraId="18774562" w14:textId="32AD83F7" w:rsidR="006A66E7" w:rsidRDefault="006A66E7" w:rsidP="00334BCA">
      <w:pPr>
        <w:jc w:val="both"/>
        <w:rPr>
          <w:lang w:val="fr-BE"/>
        </w:rPr>
      </w:pPr>
    </w:p>
    <w:p w14:paraId="45AC5985" w14:textId="77777777" w:rsidR="006A66E7" w:rsidRDefault="006A66E7" w:rsidP="00334BCA">
      <w:pPr>
        <w:jc w:val="both"/>
        <w:rPr>
          <w:lang w:val="fr-BE"/>
        </w:rPr>
      </w:pPr>
    </w:p>
    <w:p w14:paraId="2D0635BB" w14:textId="7C295E9B" w:rsidR="009F5D52" w:rsidRPr="004E4E82" w:rsidRDefault="004E4E82" w:rsidP="00CD5358">
      <w:pPr>
        <w:pStyle w:val="Heading1"/>
      </w:pPr>
      <w:r>
        <w:lastRenderedPageBreak/>
        <w:t xml:space="preserve">Profil du </w:t>
      </w:r>
      <w:r w:rsidR="001A6D1D">
        <w:t>consultant</w:t>
      </w:r>
    </w:p>
    <w:p w14:paraId="6248141C" w14:textId="77777777" w:rsidR="009F5D52" w:rsidRDefault="009F5D52" w:rsidP="00900BEE">
      <w:pPr>
        <w:rPr>
          <w:lang w:val="fr-BE"/>
        </w:rPr>
      </w:pPr>
    </w:p>
    <w:p w14:paraId="18E460F1" w14:textId="42C47CB7" w:rsidR="00334BCA" w:rsidRPr="00334BCA" w:rsidRDefault="00334BCA" w:rsidP="00334BCA">
      <w:pPr>
        <w:jc w:val="both"/>
        <w:rPr>
          <w:lang w:val="fr-BE"/>
        </w:rPr>
      </w:pPr>
      <w:r>
        <w:rPr>
          <w:rFonts w:ascii="Calibri" w:eastAsia="Calibri" w:hAnsi="Calibri" w:cs="Times New Roman"/>
          <w:lang w:val="fr-FR"/>
        </w:rPr>
        <w:t xml:space="preserve">- </w:t>
      </w:r>
      <w:r w:rsidRPr="00334BCA">
        <w:rPr>
          <w:lang w:val="fr-BE"/>
        </w:rPr>
        <w:t xml:space="preserve">Détenteur d´un diplôme d’une faculté reconnue en agronomie/agroéconomie, sciences informatiques, sciences économiques, en élaboration et gestion de </w:t>
      </w:r>
      <w:proofErr w:type="gramStart"/>
      <w:r w:rsidRPr="00334BCA">
        <w:rPr>
          <w:lang w:val="fr-BE"/>
        </w:rPr>
        <w:t>projets;</w:t>
      </w:r>
      <w:proofErr w:type="gramEnd"/>
      <w:r w:rsidRPr="00334BCA">
        <w:rPr>
          <w:lang w:val="fr-BE"/>
        </w:rPr>
        <w:t xml:space="preserve"> en planification ou en statistiques ;</w:t>
      </w:r>
    </w:p>
    <w:p w14:paraId="738B1E79" w14:textId="7CCDE9C1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Expérience d’au moins 4 ans en suivi-évaluation de projets de développement ;</w:t>
      </w:r>
    </w:p>
    <w:p w14:paraId="028D8AE0" w14:textId="721DED0F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 xml:space="preserve">- Maitrise du suivi digitaliser des données relatives aux S&amp;E (la connaissance de l’outil </w:t>
      </w:r>
      <w:proofErr w:type="spellStart"/>
      <w:r w:rsidRPr="00334BCA">
        <w:rPr>
          <w:lang w:val="fr-BE"/>
        </w:rPr>
        <w:t>kobo</w:t>
      </w:r>
      <w:proofErr w:type="spellEnd"/>
      <w:r w:rsidRPr="00334BCA">
        <w:rPr>
          <w:lang w:val="fr-BE"/>
        </w:rPr>
        <w:t xml:space="preserve"> </w:t>
      </w:r>
      <w:proofErr w:type="spellStart"/>
      <w:r w:rsidRPr="00334BCA">
        <w:rPr>
          <w:lang w:val="fr-BE"/>
        </w:rPr>
        <w:t>toolbox</w:t>
      </w:r>
      <w:proofErr w:type="spellEnd"/>
      <w:r w:rsidRPr="00334BCA">
        <w:rPr>
          <w:lang w:val="fr-BE"/>
        </w:rPr>
        <w:t xml:space="preserve"> est un atout majeur) ;</w:t>
      </w:r>
    </w:p>
    <w:p w14:paraId="043DFCD9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Expérience avérée dans le renforcement de capacités de partenaires dans le domaine de suivi-évaluation ;</w:t>
      </w:r>
    </w:p>
    <w:p w14:paraId="33353D16" w14:textId="38401821" w:rsidR="002227E6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 xml:space="preserve">- </w:t>
      </w:r>
      <w:r w:rsidR="002227E6">
        <w:rPr>
          <w:lang w:val="fr-FR"/>
        </w:rPr>
        <w:t xml:space="preserve">Maitrise de </w:t>
      </w:r>
      <w:proofErr w:type="gramStart"/>
      <w:r w:rsidR="002227E6">
        <w:rPr>
          <w:lang w:val="fr-FR"/>
        </w:rPr>
        <w:t>la  gestion</w:t>
      </w:r>
      <w:proofErr w:type="gramEnd"/>
      <w:r w:rsidR="002227E6">
        <w:rPr>
          <w:lang w:val="fr-FR"/>
        </w:rPr>
        <w:t xml:space="preserve"> de base de données</w:t>
      </w:r>
      <w:r w:rsidR="002227E6" w:rsidRPr="00334BCA">
        <w:rPr>
          <w:lang w:val="fr-BE"/>
        </w:rPr>
        <w:t xml:space="preserve"> </w:t>
      </w:r>
      <w:r w:rsidR="002227E6">
        <w:rPr>
          <w:lang w:val="fr-BE"/>
        </w:rPr>
        <w:t>est</w:t>
      </w:r>
      <w:r w:rsidR="00B96C70">
        <w:rPr>
          <w:lang w:val="fr-BE"/>
        </w:rPr>
        <w:t xml:space="preserve"> un</w:t>
      </w:r>
      <w:r w:rsidR="002227E6">
        <w:rPr>
          <w:lang w:val="fr-BE"/>
        </w:rPr>
        <w:t xml:space="preserve"> atout ;</w:t>
      </w:r>
    </w:p>
    <w:p w14:paraId="5919B911" w14:textId="571F83EF" w:rsidR="00334BCA" w:rsidRPr="00334BCA" w:rsidRDefault="002227E6" w:rsidP="00334BCA">
      <w:pPr>
        <w:jc w:val="both"/>
        <w:rPr>
          <w:lang w:val="fr-BE"/>
        </w:rPr>
      </w:pPr>
      <w:r>
        <w:rPr>
          <w:lang w:val="fr-BE"/>
        </w:rPr>
        <w:t xml:space="preserve">- </w:t>
      </w:r>
      <w:r w:rsidR="00334BCA" w:rsidRPr="00334BCA">
        <w:rPr>
          <w:lang w:val="fr-BE"/>
        </w:rPr>
        <w:t>Maitrise des outils et méthode de suivi-évaluation ;</w:t>
      </w:r>
    </w:p>
    <w:p w14:paraId="4ADDAFC5" w14:textId="5A1F58DE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Avoir la capacité de travailler dans des conditions difficiles ;</w:t>
      </w:r>
    </w:p>
    <w:p w14:paraId="35ACF64D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 Grande capacité de communication et de rédaction ;</w:t>
      </w:r>
    </w:p>
    <w:p w14:paraId="4771CABA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Grande capacité de planification et d’organisation ;</w:t>
      </w:r>
    </w:p>
    <w:p w14:paraId="737B2AD7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 xml:space="preserve">- Avoir l’esprit d’équipe ; </w:t>
      </w:r>
    </w:p>
    <w:p w14:paraId="5727822D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Avoir une attitude ouverte et collégiale avec capacités de négociation et d'écoute ;</w:t>
      </w:r>
    </w:p>
    <w:p w14:paraId="21B9CCCB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 xml:space="preserve">- Expérience de travail avec l’approche </w:t>
      </w:r>
      <w:proofErr w:type="gramStart"/>
      <w:r w:rsidRPr="00334BCA">
        <w:rPr>
          <w:lang w:val="fr-BE"/>
        </w:rPr>
        <w:t>participative;</w:t>
      </w:r>
      <w:proofErr w:type="gramEnd"/>
    </w:p>
    <w:p w14:paraId="6FF2566B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>- Excellente connaissance des logiciels de Microsoft Office ;</w:t>
      </w:r>
    </w:p>
    <w:p w14:paraId="3EEA3C6F" w14:textId="77777777" w:rsidR="00334BCA" w:rsidRPr="00334BCA" w:rsidRDefault="00334BCA" w:rsidP="00334BCA">
      <w:pPr>
        <w:jc w:val="both"/>
        <w:rPr>
          <w:lang w:val="fr-BE"/>
        </w:rPr>
      </w:pPr>
      <w:r w:rsidRPr="00334BCA">
        <w:rPr>
          <w:lang w:val="fr-BE"/>
        </w:rPr>
        <w:t xml:space="preserve">- Expérience professionnelle dans la gestion de base de données. </w:t>
      </w:r>
    </w:p>
    <w:p w14:paraId="02385376" w14:textId="72BAF198" w:rsidR="004E4E82" w:rsidRDefault="001918DA" w:rsidP="00334BCA">
      <w:pPr>
        <w:jc w:val="both"/>
        <w:rPr>
          <w:lang w:val="fr-BE"/>
        </w:rPr>
      </w:pPr>
      <w:r>
        <w:rPr>
          <w:lang w:val="fr-BE"/>
        </w:rPr>
        <w:t>- Les candidatures féminines sont encouragées</w:t>
      </w:r>
    </w:p>
    <w:p w14:paraId="6F7D52BD" w14:textId="77777777" w:rsidR="004E4E82" w:rsidRDefault="004E4E82" w:rsidP="00900BEE">
      <w:pPr>
        <w:rPr>
          <w:lang w:val="fr-BE"/>
        </w:rPr>
      </w:pPr>
    </w:p>
    <w:p w14:paraId="35DC1D50" w14:textId="6D9E6165" w:rsidR="0006129C" w:rsidRPr="00CD5358" w:rsidRDefault="00334BCA" w:rsidP="00CD5358">
      <w:pPr>
        <w:pStyle w:val="Heading1"/>
        <w:rPr>
          <w:lang w:val="fr-FR"/>
        </w:rPr>
      </w:pPr>
      <w:r>
        <w:rPr>
          <w:lang w:val="fr-FR"/>
        </w:rPr>
        <w:t>Durée de la consultance</w:t>
      </w:r>
    </w:p>
    <w:p w14:paraId="585D5B41" w14:textId="77777777" w:rsidR="0006129C" w:rsidRDefault="0006129C" w:rsidP="00900BEE">
      <w:pPr>
        <w:rPr>
          <w:lang w:val="fr-BE"/>
        </w:rPr>
      </w:pPr>
    </w:p>
    <w:p w14:paraId="1D19AED2" w14:textId="168C1D1A" w:rsidR="00900BEE" w:rsidRDefault="00334BCA" w:rsidP="00900BEE">
      <w:pPr>
        <w:rPr>
          <w:lang w:val="fr-BE"/>
        </w:rPr>
      </w:pPr>
      <w:r>
        <w:rPr>
          <w:lang w:val="fr-BE"/>
        </w:rPr>
        <w:t xml:space="preserve">La consultance est prévue pour une durée maximale de </w:t>
      </w:r>
      <w:r w:rsidR="00C927C2">
        <w:rPr>
          <w:lang w:val="fr-BE"/>
        </w:rPr>
        <w:t>trois (3) mois</w:t>
      </w:r>
      <w:r w:rsidR="001B4320">
        <w:rPr>
          <w:lang w:val="fr-BE"/>
        </w:rPr>
        <w:t>, avec possibilité de prolongation après cette première phase de mise en place du système de suivi</w:t>
      </w:r>
      <w:r w:rsidR="00C927C2">
        <w:rPr>
          <w:lang w:val="fr-BE"/>
        </w:rPr>
        <w:t xml:space="preserve">. Le début du contrat </w:t>
      </w:r>
      <w:r w:rsidR="00B96C70">
        <w:rPr>
          <w:lang w:val="fr-BE"/>
        </w:rPr>
        <w:t>est</w:t>
      </w:r>
      <w:r w:rsidR="001B4320">
        <w:rPr>
          <w:lang w:val="fr-BE"/>
        </w:rPr>
        <w:t xml:space="preserve"> prévu à partir de 2</w:t>
      </w:r>
      <w:r w:rsidR="008145A7">
        <w:rPr>
          <w:lang w:val="fr-BE"/>
        </w:rPr>
        <w:t>9</w:t>
      </w:r>
      <w:r w:rsidR="001B4320">
        <w:rPr>
          <w:lang w:val="fr-BE"/>
        </w:rPr>
        <w:t xml:space="preserve"> mars 2021</w:t>
      </w:r>
      <w:r>
        <w:rPr>
          <w:lang w:val="fr-BE"/>
        </w:rPr>
        <w:t>.</w:t>
      </w:r>
    </w:p>
    <w:p w14:paraId="680AA03F" w14:textId="7AB28B64" w:rsidR="00334BCA" w:rsidRDefault="00334BCA" w:rsidP="00900BEE">
      <w:pPr>
        <w:rPr>
          <w:lang w:val="fr-BE"/>
        </w:rPr>
      </w:pPr>
    </w:p>
    <w:p w14:paraId="2E9A7ADC" w14:textId="0445FAFB" w:rsidR="00334BCA" w:rsidRDefault="00334BCA" w:rsidP="00900BEE">
      <w:pPr>
        <w:rPr>
          <w:lang w:val="fr-BE"/>
        </w:rPr>
      </w:pPr>
    </w:p>
    <w:p w14:paraId="7EAB20BE" w14:textId="77777777" w:rsidR="00EA65D7" w:rsidRPr="00C16030" w:rsidRDefault="00EA65D7" w:rsidP="00EA65D7">
      <w:pPr>
        <w:autoSpaceDE w:val="0"/>
        <w:autoSpaceDN w:val="0"/>
        <w:adjustRightInd w:val="0"/>
        <w:jc w:val="both"/>
        <w:rPr>
          <w:rFonts w:ascii="Gill Sans MT" w:hAnsi="Gill Sans MT"/>
          <w:u w:val="single"/>
          <w:lang w:val="fr-CA"/>
        </w:rPr>
      </w:pPr>
      <w:r w:rsidRPr="00C16030">
        <w:rPr>
          <w:rFonts w:ascii="Gill Sans MT" w:hAnsi="Gill Sans MT"/>
          <w:u w:val="single"/>
          <w:lang w:val="fr-CA"/>
        </w:rPr>
        <w:t>Calendrier et délai :</w:t>
      </w:r>
    </w:p>
    <w:p w14:paraId="061427FE" w14:textId="094108C9" w:rsidR="00EA65D7" w:rsidRPr="001102C7" w:rsidRDefault="00EA65D7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 xml:space="preserve">La date limite de remise des offres est </w:t>
      </w:r>
      <w:r>
        <w:rPr>
          <w:lang w:val="fr-CA"/>
        </w:rPr>
        <w:t>fixée au 1</w:t>
      </w:r>
      <w:r w:rsidR="00935AB5">
        <w:rPr>
          <w:lang w:val="fr-CA"/>
        </w:rPr>
        <w:t>6</w:t>
      </w:r>
      <w:r>
        <w:rPr>
          <w:lang w:val="fr-CA"/>
        </w:rPr>
        <w:t xml:space="preserve"> mars 2021, 16h</w:t>
      </w:r>
      <w:r w:rsidRPr="001102C7">
        <w:rPr>
          <w:lang w:val="fr-CA"/>
        </w:rPr>
        <w:t>.</w:t>
      </w:r>
    </w:p>
    <w:p w14:paraId="4E4EDE44" w14:textId="3E39EDBA" w:rsidR="00EA65D7" w:rsidRPr="001102C7" w:rsidRDefault="00EA65D7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 xml:space="preserve">Signature du contrat et démarrage de l’étude : </w:t>
      </w:r>
      <w:r>
        <w:rPr>
          <w:lang w:val="fr-CA"/>
        </w:rPr>
        <w:t>2</w:t>
      </w:r>
      <w:r w:rsidR="004B1902">
        <w:rPr>
          <w:lang w:val="fr-CA"/>
        </w:rPr>
        <w:t>9</w:t>
      </w:r>
      <w:r>
        <w:rPr>
          <w:lang w:val="fr-CA"/>
        </w:rPr>
        <w:t xml:space="preserve"> mars </w:t>
      </w:r>
      <w:r w:rsidRPr="001102C7">
        <w:rPr>
          <w:lang w:val="fr-CA"/>
        </w:rPr>
        <w:t>2021</w:t>
      </w:r>
    </w:p>
    <w:p w14:paraId="34CEC1AE" w14:textId="77777777" w:rsidR="00EA65D7" w:rsidRPr="00C16030" w:rsidRDefault="00EA65D7" w:rsidP="00963269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Gill Sans MT" w:hAnsi="Gill Sans MT"/>
          <w:sz w:val="24"/>
          <w:szCs w:val="24"/>
          <w:lang w:val="fr-CA"/>
        </w:rPr>
      </w:pPr>
    </w:p>
    <w:p w14:paraId="7AE8F8BD" w14:textId="77777777" w:rsidR="00EA65D7" w:rsidRPr="001102C7" w:rsidRDefault="00EA65D7" w:rsidP="00EA65D7">
      <w:pPr>
        <w:pStyle w:val="Heading1"/>
        <w:spacing w:before="240" w:after="60"/>
        <w:ind w:left="720" w:hanging="360"/>
        <w:jc w:val="both"/>
      </w:pPr>
      <w:bookmarkStart w:id="1" w:name="_Toc317775256"/>
      <w:bookmarkStart w:id="2" w:name="_Toc16513879"/>
      <w:bookmarkStart w:id="3" w:name="_Toc50549190"/>
      <w:r w:rsidRPr="00C16030">
        <w:rPr>
          <w:rFonts w:ascii="Gill Sans MT" w:hAnsi="Gill Sans MT"/>
        </w:rPr>
        <w:t>L’Offre</w:t>
      </w:r>
      <w:bookmarkEnd w:id="1"/>
      <w:bookmarkEnd w:id="2"/>
      <w:bookmarkEnd w:id="3"/>
    </w:p>
    <w:p w14:paraId="569B6445" w14:textId="2F69523B" w:rsidR="00EA65D7" w:rsidRDefault="009C4BF4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>
        <w:rPr>
          <w:lang w:val="fr-CA"/>
        </w:rPr>
        <w:t xml:space="preserve">Les </w:t>
      </w:r>
      <w:r w:rsidR="00EA65D7" w:rsidRPr="001102C7">
        <w:rPr>
          <w:lang w:val="fr-CA"/>
        </w:rPr>
        <w:t>consultants/tes intéressés</w:t>
      </w:r>
      <w:r w:rsidR="00EA65D7">
        <w:rPr>
          <w:lang w:val="fr-CA"/>
        </w:rPr>
        <w:t>/</w:t>
      </w:r>
      <w:proofErr w:type="spellStart"/>
      <w:r w:rsidR="00EA65D7">
        <w:rPr>
          <w:lang w:val="fr-CA"/>
        </w:rPr>
        <w:t>ées</w:t>
      </w:r>
      <w:proofErr w:type="spellEnd"/>
      <w:r w:rsidR="00EA65D7" w:rsidRPr="001102C7">
        <w:rPr>
          <w:lang w:val="fr-CA"/>
        </w:rPr>
        <w:t xml:space="preserve"> par cet appel d’offres, devront présenter leurs offres conformément à l’information contenue dans ces Termes de Référence.</w:t>
      </w:r>
    </w:p>
    <w:p w14:paraId="22627D6A" w14:textId="77777777" w:rsidR="00EA65D7" w:rsidRPr="001102C7" w:rsidRDefault="00EA65D7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27648A">
        <w:rPr>
          <w:lang w:val="fr-CA"/>
        </w:rPr>
        <w:t>L’offre devra suivre toutes les spécifications des termes de référence ci-dessus :</w:t>
      </w:r>
    </w:p>
    <w:p w14:paraId="377216E3" w14:textId="77777777" w:rsidR="00EA65D7" w:rsidRPr="001102C7" w:rsidRDefault="00EA65D7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>Méthodologie et procédures :</w:t>
      </w:r>
    </w:p>
    <w:p w14:paraId="2EE4D1F7" w14:textId="43636958" w:rsidR="00EA65D7" w:rsidRPr="001102C7" w:rsidRDefault="00EA65D7" w:rsidP="00EA65D7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Portée d</w:t>
      </w:r>
      <w:r w:rsidR="009C4BF4">
        <w:rPr>
          <w:lang w:val="fr-CA"/>
        </w:rPr>
        <w:t>u travail demand</w:t>
      </w:r>
      <w:r w:rsidR="009C4BF4" w:rsidRPr="001102C7">
        <w:rPr>
          <w:lang w:val="fr-CA"/>
        </w:rPr>
        <w:t>é</w:t>
      </w:r>
      <w:r w:rsidRPr="001102C7">
        <w:rPr>
          <w:lang w:val="fr-CA"/>
        </w:rPr>
        <w:t>; [Maximum 1.5 page]</w:t>
      </w:r>
    </w:p>
    <w:p w14:paraId="1B57BFDB" w14:textId="77777777" w:rsidR="00EA65D7" w:rsidRPr="001102C7" w:rsidRDefault="00EA65D7" w:rsidP="00EA65D7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Méthodologie spécifique qui sera appliquée pour une réalisation satisfaisante des activités; [Maximum 3 pages]</w:t>
      </w:r>
    </w:p>
    <w:p w14:paraId="10680735" w14:textId="77777777" w:rsidR="00EA65D7" w:rsidRPr="001102C7" w:rsidRDefault="00EA65D7" w:rsidP="00EA65D7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Plan de travail détaillé;</w:t>
      </w:r>
    </w:p>
    <w:p w14:paraId="01E93D25" w14:textId="77777777" w:rsidR="00EA65D7" w:rsidRPr="001102C7" w:rsidRDefault="00EA65D7" w:rsidP="00EA65D7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Chronogramme : calendrier, séquence et durée des activités proposées.</w:t>
      </w:r>
    </w:p>
    <w:p w14:paraId="6BDB7374" w14:textId="77777777" w:rsidR="00EA65D7" w:rsidRPr="001102C7" w:rsidRDefault="00EA65D7" w:rsidP="00EA65D7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Budget : La proposition devra être détaillée en dollar</w:t>
      </w:r>
      <w:r>
        <w:rPr>
          <w:lang w:val="fr-CA"/>
        </w:rPr>
        <w:t xml:space="preserve">s américains </w:t>
      </w:r>
      <w:r w:rsidRPr="001102C7">
        <w:rPr>
          <w:lang w:val="fr-CA"/>
        </w:rPr>
        <w:t xml:space="preserve"> </w:t>
      </w:r>
    </w:p>
    <w:p w14:paraId="5CE92021" w14:textId="400B295C" w:rsidR="00EA65D7" w:rsidRPr="001102C7" w:rsidRDefault="00EA65D7" w:rsidP="00EA65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>Les expériences de la firme ou des consultants/</w:t>
      </w:r>
      <w:proofErr w:type="gramStart"/>
      <w:r w:rsidRPr="001102C7">
        <w:rPr>
          <w:lang w:val="fr-CA"/>
        </w:rPr>
        <w:t>tes  ;</w:t>
      </w:r>
      <w:proofErr w:type="gramEnd"/>
    </w:p>
    <w:p w14:paraId="04B47296" w14:textId="48BE4355" w:rsidR="00EA65D7" w:rsidRPr="009C4BF4" w:rsidRDefault="00EA65D7" w:rsidP="009C4BF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9C4BF4">
        <w:rPr>
          <w:lang w:val="fr-CA"/>
        </w:rPr>
        <w:t xml:space="preserve">Profil du/de la consultant/te ou des membres de l’équipe (années d’expérience, diplômes). Le C.V du/de la consultant/te ou des personnes proposées devra être joint au dossier. </w:t>
      </w:r>
    </w:p>
    <w:p w14:paraId="199CA7DB" w14:textId="77777777" w:rsidR="00EA65D7" w:rsidRPr="00C16030" w:rsidRDefault="00EA65D7" w:rsidP="00EA65D7">
      <w:pPr>
        <w:autoSpaceDE w:val="0"/>
        <w:autoSpaceDN w:val="0"/>
        <w:adjustRightInd w:val="0"/>
        <w:jc w:val="both"/>
        <w:rPr>
          <w:rFonts w:ascii="Gill Sans MT" w:hAnsi="Gill Sans MT"/>
          <w:b/>
          <w:bCs/>
          <w:sz w:val="23"/>
          <w:szCs w:val="23"/>
          <w:lang w:val="fr-CA" w:eastAsia="fr-FR"/>
        </w:rPr>
      </w:pPr>
    </w:p>
    <w:p w14:paraId="29E03B5A" w14:textId="77777777" w:rsidR="00EA65D7" w:rsidRPr="001102C7" w:rsidRDefault="00EA65D7" w:rsidP="00EA65D7">
      <w:pPr>
        <w:autoSpaceDE w:val="0"/>
        <w:autoSpaceDN w:val="0"/>
        <w:adjustRightInd w:val="0"/>
        <w:jc w:val="both"/>
        <w:rPr>
          <w:rFonts w:cstheme="minorHAnsi"/>
          <w:u w:val="single"/>
          <w:lang w:val="fr-CA"/>
        </w:rPr>
      </w:pPr>
      <w:r w:rsidRPr="001102C7">
        <w:rPr>
          <w:rFonts w:cstheme="minorHAnsi"/>
          <w:u w:val="single"/>
          <w:lang w:val="fr-CA"/>
        </w:rPr>
        <w:t>Informations complémentaires avant la date limite de remise des offres.</w:t>
      </w:r>
    </w:p>
    <w:p w14:paraId="1A51A76A" w14:textId="77777777" w:rsidR="00EA65D7" w:rsidRDefault="00EA65D7" w:rsidP="00EA65D7">
      <w:pPr>
        <w:autoSpaceDE w:val="0"/>
        <w:autoSpaceDN w:val="0"/>
        <w:adjustRightInd w:val="0"/>
        <w:jc w:val="both"/>
        <w:rPr>
          <w:lang w:val="fr-FR"/>
        </w:rPr>
      </w:pPr>
      <w:r w:rsidRPr="001102C7">
        <w:rPr>
          <w:lang w:val="fr-CA"/>
        </w:rPr>
        <w:t>Les soumissionnaires peuvent envoyer leurs questions par écrit à l'adresse suivante, avant l</w:t>
      </w:r>
      <w:r>
        <w:rPr>
          <w:lang w:val="fr-CA"/>
        </w:rPr>
        <w:t>e 10 mars 16h00</w:t>
      </w:r>
      <w:hyperlink r:id="rId8" w:history="1"/>
      <w:r>
        <w:rPr>
          <w:lang w:val="fr-FR"/>
        </w:rPr>
        <w:t xml:space="preserve"> </w:t>
      </w:r>
    </w:p>
    <w:p w14:paraId="49905E6E" w14:textId="77777777" w:rsidR="00EA65D7" w:rsidRPr="007E1887" w:rsidRDefault="00EA65D7" w:rsidP="00EA65D7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                     </w:t>
      </w:r>
      <w:r w:rsidRPr="001102C7">
        <w:rPr>
          <w:lang w:val="fr-CA"/>
        </w:rPr>
        <w:t xml:space="preserve">info.haiti@protos.ong </w:t>
      </w:r>
    </w:p>
    <w:p w14:paraId="51019A8D" w14:textId="77777777" w:rsidR="009C4BF4" w:rsidRDefault="009C4BF4" w:rsidP="00EA65D7">
      <w:pPr>
        <w:autoSpaceDE w:val="0"/>
        <w:autoSpaceDN w:val="0"/>
        <w:adjustRightInd w:val="0"/>
        <w:jc w:val="both"/>
        <w:rPr>
          <w:rFonts w:cstheme="minorHAnsi"/>
          <w:u w:val="single"/>
          <w:lang w:val="fr-CA"/>
        </w:rPr>
      </w:pPr>
    </w:p>
    <w:p w14:paraId="42838265" w14:textId="76846AC9" w:rsidR="00EA65D7" w:rsidRDefault="00EA65D7" w:rsidP="00EA65D7">
      <w:pPr>
        <w:autoSpaceDE w:val="0"/>
        <w:autoSpaceDN w:val="0"/>
        <w:adjustRightInd w:val="0"/>
        <w:jc w:val="both"/>
        <w:rPr>
          <w:rFonts w:cstheme="minorHAnsi"/>
          <w:u w:val="single"/>
          <w:lang w:val="fr-CA"/>
        </w:rPr>
      </w:pPr>
      <w:r w:rsidRPr="001102C7">
        <w:rPr>
          <w:rFonts w:cstheme="minorHAnsi"/>
          <w:u w:val="single"/>
          <w:lang w:val="fr-CA"/>
        </w:rPr>
        <w:t>Soumission des offres</w:t>
      </w:r>
    </w:p>
    <w:p w14:paraId="4A2E2DC3" w14:textId="77777777" w:rsidR="00EA65D7" w:rsidRPr="001102C7" w:rsidRDefault="00EA65D7" w:rsidP="00EA65D7">
      <w:pPr>
        <w:autoSpaceDE w:val="0"/>
        <w:autoSpaceDN w:val="0"/>
        <w:adjustRightInd w:val="0"/>
        <w:jc w:val="both"/>
        <w:rPr>
          <w:lang w:val="fr-CA"/>
        </w:rPr>
      </w:pPr>
      <w:r w:rsidRPr="001102C7">
        <w:rPr>
          <w:lang w:val="fr-CA"/>
        </w:rPr>
        <w:t>Les offres doivent être présentées selon la modalité suivante :</w:t>
      </w:r>
    </w:p>
    <w:p w14:paraId="689E8035" w14:textId="0D57F29A" w:rsidR="00EA65D7" w:rsidRPr="001102C7" w:rsidRDefault="00EA65D7" w:rsidP="00EA65D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>Offre technique : version électronique uniquement et portant l’intitulé «</w:t>
      </w:r>
      <w:r w:rsidR="00CA29F7">
        <w:rPr>
          <w:lang w:val="fr-CA"/>
        </w:rPr>
        <w:t xml:space="preserve"> </w:t>
      </w:r>
      <w:r w:rsidR="00CA29F7">
        <w:rPr>
          <w:lang w:val="fr-BE"/>
        </w:rPr>
        <w:t>Un(e) consultant(e) en suivi &amp; évaluation</w:t>
      </w:r>
      <w:r w:rsidR="005D085A">
        <w:rPr>
          <w:lang w:val="fr-BE"/>
        </w:rPr>
        <w:t xml:space="preserve"> </w:t>
      </w:r>
      <w:r w:rsidRPr="001102C7">
        <w:rPr>
          <w:lang w:val="fr-CA"/>
        </w:rPr>
        <w:t>» à l’adresse :</w:t>
      </w:r>
    </w:p>
    <w:p w14:paraId="23A96073" w14:textId="77777777" w:rsidR="00EA65D7" w:rsidRPr="001102C7" w:rsidRDefault="00EA65D7" w:rsidP="00EA65D7">
      <w:pPr>
        <w:pStyle w:val="NoSpacing"/>
        <w:ind w:left="2160"/>
        <w:rPr>
          <w:rFonts w:ascii="Calibri" w:hAnsi="Calibri" w:cs="Times New Roman"/>
          <w:sz w:val="22"/>
          <w:szCs w:val="22"/>
          <w:lang w:val="fr-CA"/>
        </w:rPr>
      </w:pPr>
    </w:p>
    <w:p w14:paraId="33E5E489" w14:textId="77777777" w:rsidR="00EA65D7" w:rsidRDefault="00EA65D7" w:rsidP="00EA65D7">
      <w:pPr>
        <w:pStyle w:val="ListParagraph"/>
        <w:autoSpaceDE w:val="0"/>
        <w:autoSpaceDN w:val="0"/>
        <w:adjustRightInd w:val="0"/>
        <w:ind w:left="2880"/>
        <w:rPr>
          <w:lang w:val="fr-CA"/>
        </w:rPr>
      </w:pPr>
      <w:r w:rsidRPr="001102C7">
        <w:rPr>
          <w:lang w:val="fr-CA"/>
        </w:rPr>
        <w:t xml:space="preserve">info.haiti@protos.ong </w:t>
      </w:r>
    </w:p>
    <w:p w14:paraId="157D1D8F" w14:textId="77777777" w:rsidR="00EA65D7" w:rsidRPr="001102C7" w:rsidRDefault="00EA65D7" w:rsidP="00CA29F7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2880"/>
        <w:rPr>
          <w:lang w:val="fr-CA"/>
        </w:rPr>
      </w:pPr>
    </w:p>
    <w:p w14:paraId="7BE3BCDB" w14:textId="7102A3EF" w:rsidR="00EA65D7" w:rsidRPr="001102C7" w:rsidRDefault="00EA65D7" w:rsidP="00EA65D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00" w:line="250" w:lineRule="exact"/>
        <w:contextualSpacing w:val="0"/>
        <w:jc w:val="both"/>
        <w:rPr>
          <w:lang w:val="fr-CA"/>
        </w:rPr>
      </w:pPr>
      <w:r w:rsidRPr="001102C7">
        <w:rPr>
          <w:lang w:val="fr-CA"/>
        </w:rPr>
        <w:t xml:space="preserve">Offre financière : version papier UNIQUEMENT et portant l’intitulé « </w:t>
      </w:r>
      <w:r w:rsidR="005D085A">
        <w:rPr>
          <w:lang w:val="fr-BE"/>
        </w:rPr>
        <w:t>Un(e) consultant(e) en suivi &amp; évaluation</w:t>
      </w:r>
      <w:r w:rsidRPr="001102C7">
        <w:rPr>
          <w:lang w:val="fr-CA"/>
        </w:rPr>
        <w:t> » à l’adresse suivante :</w:t>
      </w:r>
    </w:p>
    <w:p w14:paraId="6AD10974" w14:textId="115B3668" w:rsidR="00EA65D7" w:rsidRPr="001102C7" w:rsidRDefault="00CA29F7" w:rsidP="00EA65D7">
      <w:pPr>
        <w:autoSpaceDE w:val="0"/>
        <w:autoSpaceDN w:val="0"/>
        <w:adjustRightInd w:val="0"/>
        <w:ind w:left="2160"/>
        <w:rPr>
          <w:lang w:val="fr-CA"/>
        </w:rPr>
      </w:pPr>
      <w:proofErr w:type="spellStart"/>
      <w:r>
        <w:rPr>
          <w:lang w:val="fr-CA"/>
        </w:rPr>
        <w:t>Join</w:t>
      </w:r>
      <w:proofErr w:type="spellEnd"/>
      <w:r>
        <w:rPr>
          <w:lang w:val="fr-CA"/>
        </w:rPr>
        <w:t xml:space="preserve"> For Water/</w:t>
      </w:r>
      <w:r w:rsidR="00EA65D7" w:rsidRPr="001102C7">
        <w:rPr>
          <w:lang w:val="fr-CA"/>
        </w:rPr>
        <w:t>Protos, Rue des Pins 17, Delmas 95</w:t>
      </w:r>
    </w:p>
    <w:p w14:paraId="0BBA21B0" w14:textId="77777777" w:rsidR="00EA65D7" w:rsidRPr="00EA65D7" w:rsidRDefault="00EA65D7" w:rsidP="00900BEE">
      <w:pPr>
        <w:rPr>
          <w:lang w:val="fr-CA"/>
        </w:rPr>
      </w:pPr>
    </w:p>
    <w:sectPr w:rsidR="00EA65D7" w:rsidRPr="00EA65D7" w:rsidSect="00793F9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A847" w14:textId="77777777" w:rsidR="00CA7525" w:rsidRDefault="00CA7525" w:rsidP="00A97289">
      <w:r>
        <w:separator/>
      </w:r>
    </w:p>
  </w:endnote>
  <w:endnote w:type="continuationSeparator" w:id="0">
    <w:p w14:paraId="4805DFE7" w14:textId="77777777" w:rsidR="00CA7525" w:rsidRDefault="00CA7525" w:rsidP="00A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A4DF" w14:textId="144C8F6B" w:rsidR="00A97289" w:rsidRPr="004E4E82" w:rsidRDefault="0015505D" w:rsidP="00A97289">
    <w:pPr>
      <w:pStyle w:val="Footer"/>
      <w:pBdr>
        <w:top w:val="single" w:sz="4" w:space="1" w:color="auto"/>
      </w:pBdr>
      <w:rPr>
        <w:szCs w:val="18"/>
        <w:lang w:val="fr-BE"/>
      </w:rPr>
    </w:pPr>
    <w:proofErr w:type="spellStart"/>
    <w:r w:rsidRPr="004E4E82">
      <w:rPr>
        <w:szCs w:val="18"/>
        <w:lang w:val="fr-BE"/>
      </w:rPr>
      <w:t>Join</w:t>
    </w:r>
    <w:proofErr w:type="spellEnd"/>
    <w:r w:rsidRPr="004E4E82">
      <w:rPr>
        <w:szCs w:val="18"/>
        <w:lang w:val="fr-BE"/>
      </w:rPr>
      <w:t xml:space="preserve"> For Water</w:t>
    </w:r>
    <w:r w:rsidR="00A97289" w:rsidRPr="004E4E82">
      <w:rPr>
        <w:szCs w:val="18"/>
        <w:lang w:val="fr-BE"/>
      </w:rPr>
      <w:tab/>
    </w:r>
    <w:r w:rsidR="004059EC" w:rsidRPr="00D46BD4">
      <w:rPr>
        <w:szCs w:val="18"/>
      </w:rPr>
      <w:fldChar w:fldCharType="begin"/>
    </w:r>
    <w:r w:rsidR="00A97289" w:rsidRPr="004E4E82">
      <w:rPr>
        <w:szCs w:val="18"/>
        <w:lang w:val="fr-BE"/>
      </w:rPr>
      <w:instrText xml:space="preserve"> PAGE  \* Arabic  \* MERGEFORMAT </w:instrText>
    </w:r>
    <w:r w:rsidR="004059EC" w:rsidRPr="00D46BD4">
      <w:rPr>
        <w:szCs w:val="18"/>
      </w:rPr>
      <w:fldChar w:fldCharType="separate"/>
    </w:r>
    <w:r w:rsidR="00D748A1" w:rsidRPr="004E4E82">
      <w:rPr>
        <w:noProof/>
        <w:szCs w:val="18"/>
        <w:lang w:val="fr-BE"/>
      </w:rPr>
      <w:t>1</w:t>
    </w:r>
    <w:r w:rsidR="004059EC" w:rsidRPr="00D46BD4">
      <w:rPr>
        <w:szCs w:val="18"/>
      </w:rPr>
      <w:fldChar w:fldCharType="end"/>
    </w:r>
    <w:r w:rsidR="00A97289" w:rsidRPr="004E4E82">
      <w:rPr>
        <w:szCs w:val="18"/>
        <w:lang w:val="fr-BE"/>
      </w:rPr>
      <w:t xml:space="preserve"> / </w:t>
    </w:r>
    <w:r w:rsidR="00D46BD4" w:rsidRPr="00D46BD4">
      <w:rPr>
        <w:szCs w:val="18"/>
      </w:rPr>
      <w:fldChar w:fldCharType="begin"/>
    </w:r>
    <w:r w:rsidR="00D46BD4" w:rsidRPr="004E4E82">
      <w:rPr>
        <w:szCs w:val="18"/>
        <w:lang w:val="fr-BE"/>
      </w:rPr>
      <w:instrText xml:space="preserve"> NUMPAGES  \* Arabic  \* MERGEFORMAT </w:instrText>
    </w:r>
    <w:r w:rsidR="00D46BD4" w:rsidRPr="00D46BD4">
      <w:rPr>
        <w:szCs w:val="18"/>
      </w:rPr>
      <w:fldChar w:fldCharType="separate"/>
    </w:r>
    <w:r w:rsidR="00D748A1" w:rsidRPr="004E4E82">
      <w:rPr>
        <w:noProof/>
        <w:szCs w:val="18"/>
        <w:lang w:val="fr-BE"/>
      </w:rPr>
      <w:t>1</w:t>
    </w:r>
    <w:r w:rsidR="00D46BD4" w:rsidRPr="00D46BD4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2300" w14:textId="77777777" w:rsidR="00CA7525" w:rsidRDefault="00CA7525" w:rsidP="00A97289">
      <w:r>
        <w:separator/>
      </w:r>
    </w:p>
  </w:footnote>
  <w:footnote w:type="continuationSeparator" w:id="0">
    <w:p w14:paraId="74881984" w14:textId="77777777" w:rsidR="00CA7525" w:rsidRDefault="00CA7525" w:rsidP="00A9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133"/>
    <w:multiLevelType w:val="hybridMultilevel"/>
    <w:tmpl w:val="D4EC1AB0"/>
    <w:lvl w:ilvl="0" w:tplc="166CB0D8">
      <w:start w:val="1"/>
      <w:numFmt w:val="upperRoman"/>
      <w:lvlText w:val="%1-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7BF"/>
    <w:multiLevelType w:val="hybridMultilevel"/>
    <w:tmpl w:val="1C86C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2A13"/>
    <w:multiLevelType w:val="hybridMultilevel"/>
    <w:tmpl w:val="B61E3A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9EB"/>
    <w:multiLevelType w:val="hybridMultilevel"/>
    <w:tmpl w:val="48BCBFEE"/>
    <w:lvl w:ilvl="0" w:tplc="3C0C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3C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3C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3C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3C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3C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C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3C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3C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EB664D1"/>
    <w:multiLevelType w:val="hybridMultilevel"/>
    <w:tmpl w:val="9FAE6CD0"/>
    <w:lvl w:ilvl="0" w:tplc="C144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023B"/>
    <w:multiLevelType w:val="hybridMultilevel"/>
    <w:tmpl w:val="66D6B7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3858"/>
    <w:multiLevelType w:val="hybridMultilevel"/>
    <w:tmpl w:val="E4B4816C"/>
    <w:lvl w:ilvl="0" w:tplc="4B02E95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FD77E2"/>
    <w:multiLevelType w:val="hybridMultilevel"/>
    <w:tmpl w:val="C276D9DC"/>
    <w:lvl w:ilvl="0" w:tplc="A86A7FE0">
      <w:start w:val="1"/>
      <w:numFmt w:val="bullet"/>
      <w:pStyle w:val="Opsomming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9C73F9"/>
    <w:multiLevelType w:val="hybridMultilevel"/>
    <w:tmpl w:val="586206D8"/>
    <w:lvl w:ilvl="0" w:tplc="EBB66238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A04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93D"/>
    <w:multiLevelType w:val="hybridMultilevel"/>
    <w:tmpl w:val="B43AC7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32B4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11" w15:restartNumberingAfterBreak="0">
    <w:nsid w:val="35635FD6"/>
    <w:multiLevelType w:val="hybridMultilevel"/>
    <w:tmpl w:val="A9ACD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05E2F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13" w15:restartNumberingAfterBreak="0">
    <w:nsid w:val="3A562BBA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14" w15:restartNumberingAfterBreak="0">
    <w:nsid w:val="3BF2774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6454C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16" w15:restartNumberingAfterBreak="0">
    <w:nsid w:val="45F04F79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17" w15:restartNumberingAfterBreak="0">
    <w:nsid w:val="4AC53268"/>
    <w:multiLevelType w:val="multilevel"/>
    <w:tmpl w:val="0409001D"/>
    <w:numStyleLink w:val="ListTom"/>
  </w:abstractNum>
  <w:abstractNum w:abstractNumId="18" w15:restartNumberingAfterBreak="0">
    <w:nsid w:val="4C0B104A"/>
    <w:multiLevelType w:val="hybridMultilevel"/>
    <w:tmpl w:val="5804F69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178"/>
    <w:multiLevelType w:val="multilevel"/>
    <w:tmpl w:val="0409001D"/>
    <w:styleLink w:val="ListTom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2">
      <w:start w:val="1"/>
      <w:numFmt w:val="bullet"/>
      <w:lvlText w:val="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E9742C2"/>
    <w:multiLevelType w:val="hybridMultilevel"/>
    <w:tmpl w:val="9A96EE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1D6A"/>
    <w:multiLevelType w:val="multilevel"/>
    <w:tmpl w:val="785C07EE"/>
    <w:lvl w:ilvl="0">
      <w:start w:val="1"/>
      <w:numFmt w:val="bullet"/>
      <w:lvlText w:val="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b w:val="0"/>
        <w:i w:val="0"/>
        <w:color w:val="4F81BD"/>
        <w:sz w:val="20"/>
      </w:rPr>
    </w:lvl>
    <w:lvl w:ilvl="1">
      <w:start w:val="1"/>
      <w:numFmt w:val="bullet"/>
      <w:lvlText w:val="–"/>
      <w:lvlJc w:val="left"/>
      <w:pPr>
        <w:tabs>
          <w:tab w:val="num" w:pos="862"/>
        </w:tabs>
        <w:ind w:left="862" w:hanging="363"/>
      </w:pPr>
      <w:rPr>
        <w:rFonts w:ascii="Arial" w:hAnsi="Arial" w:hint="default"/>
        <w:color w:val="17365D"/>
      </w:rPr>
    </w:lvl>
    <w:lvl w:ilvl="2">
      <w:start w:val="1"/>
      <w:numFmt w:val="bullet"/>
      <w:lvlText w:val=""/>
      <w:lvlJc w:val="left"/>
      <w:pPr>
        <w:tabs>
          <w:tab w:val="num" w:pos="1219"/>
        </w:tabs>
        <w:ind w:left="1219" w:hanging="357"/>
      </w:pPr>
      <w:rPr>
        <w:rFonts w:ascii="Wingdings" w:hAnsi="Wingdings" w:hint="default"/>
        <w:color w:val="17365D"/>
      </w:rPr>
    </w:lvl>
    <w:lvl w:ilvl="3">
      <w:start w:val="1"/>
      <w:numFmt w:val="bullet"/>
      <w:lvlText w:val=""/>
      <w:lvlJc w:val="left"/>
      <w:pPr>
        <w:tabs>
          <w:tab w:val="num" w:pos="1582"/>
        </w:tabs>
        <w:ind w:left="1582" w:hanging="363"/>
      </w:pPr>
      <w:rPr>
        <w:rFonts w:ascii="Wingdings 2" w:hAnsi="Wingdings 2" w:hint="default"/>
        <w:color w:val="17365D"/>
      </w:rPr>
    </w:lvl>
    <w:lvl w:ilvl="4">
      <w:start w:val="1"/>
      <w:numFmt w:val="bullet"/>
      <w:lvlText w:val=""/>
      <w:lvlJc w:val="left"/>
      <w:pPr>
        <w:tabs>
          <w:tab w:val="num" w:pos="1939"/>
        </w:tabs>
        <w:ind w:left="1939" w:hanging="357"/>
      </w:pPr>
      <w:rPr>
        <w:rFonts w:ascii="Wingdings" w:hAnsi="Wingdings" w:hint="default"/>
        <w:color w:val="17365D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9"/>
        </w:tabs>
        <w:ind w:left="26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9"/>
        </w:tabs>
        <w:ind w:left="3379" w:hanging="357"/>
      </w:pPr>
      <w:rPr>
        <w:rFonts w:hint="default"/>
      </w:rPr>
    </w:lvl>
  </w:abstractNum>
  <w:abstractNum w:abstractNumId="22" w15:restartNumberingAfterBreak="0">
    <w:nsid w:val="5CF028E7"/>
    <w:multiLevelType w:val="multilevel"/>
    <w:tmpl w:val="E07C98F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73EC7"/>
    <w:multiLevelType w:val="hybridMultilevel"/>
    <w:tmpl w:val="B7ACD8D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12C3193"/>
    <w:multiLevelType w:val="hybridMultilevel"/>
    <w:tmpl w:val="989881E4"/>
    <w:lvl w:ilvl="0" w:tplc="DC042A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D6F5D"/>
    <w:multiLevelType w:val="hybridMultilevel"/>
    <w:tmpl w:val="0276B040"/>
    <w:lvl w:ilvl="0" w:tplc="3C0C000B">
      <w:start w:val="1"/>
      <w:numFmt w:val="bullet"/>
      <w:lvlText w:val=""/>
      <w:lvlJc w:val="left"/>
      <w:pPr>
        <w:ind w:left="2184" w:hanging="360"/>
      </w:pPr>
      <w:rPr>
        <w:rFonts w:ascii="Wingdings" w:hAnsi="Wingdings" w:hint="default"/>
      </w:rPr>
    </w:lvl>
    <w:lvl w:ilvl="1" w:tplc="3C0C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3C0C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3C0C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3C0C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3C0C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3C0C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3C0C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3C0C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6" w15:restartNumberingAfterBreak="0">
    <w:nsid w:val="63F218FA"/>
    <w:multiLevelType w:val="hybridMultilevel"/>
    <w:tmpl w:val="B24482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0F50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B3B7B"/>
    <w:multiLevelType w:val="hybridMultilevel"/>
    <w:tmpl w:val="411667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DE5"/>
    <w:multiLevelType w:val="hybridMultilevel"/>
    <w:tmpl w:val="EA8463BA"/>
    <w:lvl w:ilvl="0" w:tplc="C3CC1054">
      <w:start w:val="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580E"/>
    <w:multiLevelType w:val="hybridMultilevel"/>
    <w:tmpl w:val="A5C60B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7"/>
  </w:num>
  <w:num w:numId="5">
    <w:abstractNumId w:val="2"/>
  </w:num>
  <w:num w:numId="6">
    <w:abstractNumId w:val="20"/>
  </w:num>
  <w:num w:numId="7">
    <w:abstractNumId w:val="26"/>
  </w:num>
  <w:num w:numId="8">
    <w:abstractNumId w:val="8"/>
  </w:num>
  <w:num w:numId="9">
    <w:abstractNumId w:val="9"/>
  </w:num>
  <w:num w:numId="10">
    <w:abstractNumId w:val="28"/>
  </w:num>
  <w:num w:numId="11">
    <w:abstractNumId w:val="7"/>
  </w:num>
  <w:num w:numId="12">
    <w:abstractNumId w:val="16"/>
  </w:num>
  <w:num w:numId="13">
    <w:abstractNumId w:val="15"/>
  </w:num>
  <w:num w:numId="14">
    <w:abstractNumId w:val="21"/>
  </w:num>
  <w:num w:numId="15">
    <w:abstractNumId w:val="10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4"/>
  </w:num>
  <w:num w:numId="25">
    <w:abstractNumId w:val="25"/>
  </w:num>
  <w:num w:numId="26">
    <w:abstractNumId w:val="24"/>
  </w:num>
  <w:num w:numId="27">
    <w:abstractNumId w:val="3"/>
  </w:num>
  <w:num w:numId="28">
    <w:abstractNumId w:val="8"/>
  </w:num>
  <w:num w:numId="29">
    <w:abstractNumId w:val="8"/>
  </w:num>
  <w:num w:numId="30">
    <w:abstractNumId w:val="23"/>
  </w:num>
  <w:num w:numId="31">
    <w:abstractNumId w:val="8"/>
  </w:num>
  <w:num w:numId="32">
    <w:abstractNumId w:val="22"/>
  </w:num>
  <w:num w:numId="33">
    <w:abstractNumId w:val="18"/>
  </w:num>
  <w:num w:numId="34">
    <w:abstractNumId w:val="8"/>
  </w:num>
  <w:num w:numId="35">
    <w:abstractNumId w:val="8"/>
  </w:num>
  <w:num w:numId="36">
    <w:abstractNumId w:val="0"/>
  </w:num>
  <w:num w:numId="37">
    <w:abstractNumId w:val="19"/>
  </w:num>
  <w:num w:numId="38">
    <w:abstractNumId w:val="17"/>
  </w:num>
  <w:num w:numId="39">
    <w:abstractNumId w:val="29"/>
  </w:num>
  <w:num w:numId="40">
    <w:abstractNumId w:val="1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E"/>
    <w:rsid w:val="00001710"/>
    <w:rsid w:val="000474C2"/>
    <w:rsid w:val="00054C11"/>
    <w:rsid w:val="0006129C"/>
    <w:rsid w:val="00077182"/>
    <w:rsid w:val="00085841"/>
    <w:rsid w:val="000A7D5E"/>
    <w:rsid w:val="000B14CC"/>
    <w:rsid w:val="000E2C21"/>
    <w:rsid w:val="001505BE"/>
    <w:rsid w:val="0015505D"/>
    <w:rsid w:val="001918DA"/>
    <w:rsid w:val="00193527"/>
    <w:rsid w:val="00193A8A"/>
    <w:rsid w:val="001A6D1D"/>
    <w:rsid w:val="001B4320"/>
    <w:rsid w:val="001E1E75"/>
    <w:rsid w:val="00202165"/>
    <w:rsid w:val="00211E49"/>
    <w:rsid w:val="002227E6"/>
    <w:rsid w:val="00255FF1"/>
    <w:rsid w:val="002B096B"/>
    <w:rsid w:val="002D10AF"/>
    <w:rsid w:val="002D1739"/>
    <w:rsid w:val="002F1375"/>
    <w:rsid w:val="00334BCA"/>
    <w:rsid w:val="0036216D"/>
    <w:rsid w:val="003A51D1"/>
    <w:rsid w:val="003D7409"/>
    <w:rsid w:val="003E04AC"/>
    <w:rsid w:val="004059EC"/>
    <w:rsid w:val="00405B3B"/>
    <w:rsid w:val="00425787"/>
    <w:rsid w:val="004B1902"/>
    <w:rsid w:val="004B3CB3"/>
    <w:rsid w:val="004E4E82"/>
    <w:rsid w:val="004F075A"/>
    <w:rsid w:val="004F5468"/>
    <w:rsid w:val="00523EE5"/>
    <w:rsid w:val="00561BDE"/>
    <w:rsid w:val="005A6B44"/>
    <w:rsid w:val="005C2FA4"/>
    <w:rsid w:val="005C6AD8"/>
    <w:rsid w:val="005D085A"/>
    <w:rsid w:val="005F5A85"/>
    <w:rsid w:val="00690E4F"/>
    <w:rsid w:val="006A66E7"/>
    <w:rsid w:val="006B7045"/>
    <w:rsid w:val="006C47F7"/>
    <w:rsid w:val="006D236D"/>
    <w:rsid w:val="006F3B57"/>
    <w:rsid w:val="00720964"/>
    <w:rsid w:val="00733407"/>
    <w:rsid w:val="0074207F"/>
    <w:rsid w:val="00744674"/>
    <w:rsid w:val="0077035F"/>
    <w:rsid w:val="00793F96"/>
    <w:rsid w:val="007A4ACC"/>
    <w:rsid w:val="007D7757"/>
    <w:rsid w:val="007E20C0"/>
    <w:rsid w:val="007E6926"/>
    <w:rsid w:val="008020E5"/>
    <w:rsid w:val="008145A7"/>
    <w:rsid w:val="00845436"/>
    <w:rsid w:val="00893CEF"/>
    <w:rsid w:val="0089547C"/>
    <w:rsid w:val="008F0086"/>
    <w:rsid w:val="00900BEE"/>
    <w:rsid w:val="00935AB5"/>
    <w:rsid w:val="00963269"/>
    <w:rsid w:val="009B7510"/>
    <w:rsid w:val="009C4BF4"/>
    <w:rsid w:val="009D3EAA"/>
    <w:rsid w:val="009F5D52"/>
    <w:rsid w:val="00A454CA"/>
    <w:rsid w:val="00A97289"/>
    <w:rsid w:val="00AA2EF7"/>
    <w:rsid w:val="00B9077E"/>
    <w:rsid w:val="00B916B5"/>
    <w:rsid w:val="00B96C70"/>
    <w:rsid w:val="00BB6F22"/>
    <w:rsid w:val="00BF11DA"/>
    <w:rsid w:val="00BF6698"/>
    <w:rsid w:val="00C072B0"/>
    <w:rsid w:val="00C07CDF"/>
    <w:rsid w:val="00C35BB8"/>
    <w:rsid w:val="00C521F7"/>
    <w:rsid w:val="00C927C2"/>
    <w:rsid w:val="00CA29F7"/>
    <w:rsid w:val="00CA7525"/>
    <w:rsid w:val="00CC3B02"/>
    <w:rsid w:val="00CD5358"/>
    <w:rsid w:val="00CF2441"/>
    <w:rsid w:val="00CF5C23"/>
    <w:rsid w:val="00D130DD"/>
    <w:rsid w:val="00D46BD4"/>
    <w:rsid w:val="00D62584"/>
    <w:rsid w:val="00D748A1"/>
    <w:rsid w:val="00D90C5C"/>
    <w:rsid w:val="00DD208B"/>
    <w:rsid w:val="00DF5AAA"/>
    <w:rsid w:val="00E5012E"/>
    <w:rsid w:val="00E509E1"/>
    <w:rsid w:val="00E63256"/>
    <w:rsid w:val="00E64C7F"/>
    <w:rsid w:val="00E91533"/>
    <w:rsid w:val="00EA25B2"/>
    <w:rsid w:val="00EA65D7"/>
    <w:rsid w:val="00F06908"/>
    <w:rsid w:val="00F236CF"/>
    <w:rsid w:val="00F359D9"/>
    <w:rsid w:val="00F474C7"/>
    <w:rsid w:val="00F73904"/>
    <w:rsid w:val="00F80C0F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312F"/>
  <w15:chartTrackingRefBased/>
  <w15:docId w15:val="{C789327E-1541-47D5-96C2-765E381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74"/>
    <w:pPr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744674"/>
    <w:pPr>
      <w:numPr>
        <w:numId w:val="2"/>
      </w:numPr>
      <w:spacing w:before="120" w:after="120"/>
      <w:ind w:left="567" w:hanging="567"/>
      <w:outlineLvl w:val="0"/>
    </w:pPr>
    <w:rPr>
      <w:rFonts w:asciiTheme="majorHAnsi" w:hAnsiTheme="majorHAnsi"/>
      <w:b/>
      <w:color w:val="004C83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4674"/>
    <w:pPr>
      <w:numPr>
        <w:ilvl w:val="1"/>
      </w:numPr>
      <w:outlineLvl w:val="1"/>
    </w:pPr>
    <w:rPr>
      <w:color w:val="00A784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44674"/>
    <w:pPr>
      <w:numPr>
        <w:ilvl w:val="2"/>
      </w:numPr>
      <w:ind w:left="851" w:hanging="851"/>
      <w:outlineLvl w:val="2"/>
    </w:pPr>
    <w:rPr>
      <w:color w:val="BC612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E04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8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4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8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89"/>
  </w:style>
  <w:style w:type="paragraph" w:styleId="Footer">
    <w:name w:val="footer"/>
    <w:basedOn w:val="Normal"/>
    <w:link w:val="FooterChar"/>
    <w:uiPriority w:val="99"/>
    <w:unhideWhenUsed/>
    <w:rsid w:val="0015505D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5505D"/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10AF"/>
    <w:pPr>
      <w:pBdr>
        <w:bottom w:val="single" w:sz="8" w:space="4" w:color="004C83" w:themeColor="accent1"/>
      </w:pBdr>
      <w:contextualSpacing/>
    </w:pPr>
    <w:rPr>
      <w:rFonts w:asciiTheme="majorHAnsi" w:eastAsiaTheme="majorEastAsia" w:hAnsiTheme="majorHAnsi" w:cstheme="majorBidi"/>
      <w:color w:val="004C83" w:themeColor="accent4"/>
      <w:spacing w:val="5"/>
      <w:kern w:val="28"/>
      <w:sz w:val="44"/>
      <w:szCs w:val="5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2D10AF"/>
    <w:rPr>
      <w:rFonts w:asciiTheme="majorHAnsi" w:eastAsiaTheme="majorEastAsia" w:hAnsiTheme="majorHAnsi" w:cstheme="majorBidi"/>
      <w:color w:val="004C83" w:themeColor="accent4"/>
      <w:spacing w:val="5"/>
      <w:kern w:val="28"/>
      <w:sz w:val="44"/>
      <w:szCs w:val="52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744674"/>
    <w:rPr>
      <w:rFonts w:asciiTheme="majorHAnsi" w:hAnsiTheme="majorHAnsi"/>
      <w:b/>
      <w:color w:val="004C83"/>
      <w:sz w:val="28"/>
      <w:lang w:val="nl-NL"/>
    </w:rPr>
  </w:style>
  <w:style w:type="paragraph" w:styleId="ListParagraph">
    <w:name w:val="List Paragraph"/>
    <w:aliases w:val="Opsomming 1"/>
    <w:basedOn w:val="Normal"/>
    <w:link w:val="ListParagraphChar"/>
    <w:uiPriority w:val="34"/>
    <w:qFormat/>
    <w:rsid w:val="002D10AF"/>
    <w:pPr>
      <w:numPr>
        <w:numId w:val="8"/>
      </w:numPr>
      <w:contextualSpacing/>
    </w:pPr>
    <w:rPr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44674"/>
    <w:rPr>
      <w:rFonts w:asciiTheme="majorHAnsi" w:hAnsiTheme="majorHAnsi"/>
      <w:b/>
      <w:color w:val="00A784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744674"/>
    <w:rPr>
      <w:rFonts w:asciiTheme="majorHAnsi" w:hAnsiTheme="majorHAnsi"/>
      <w:b/>
      <w:color w:val="BC6124"/>
      <w:lang w:val="nl-NL"/>
    </w:rPr>
  </w:style>
  <w:style w:type="paragraph" w:styleId="Subtitle">
    <w:name w:val="Subtitle"/>
    <w:basedOn w:val="Normal"/>
    <w:next w:val="Normal"/>
    <w:link w:val="SubtitleChar"/>
    <w:uiPriority w:val="11"/>
    <w:rsid w:val="00F359D9"/>
    <w:pPr>
      <w:numPr>
        <w:ilvl w:val="1"/>
      </w:numPr>
    </w:pPr>
    <w:rPr>
      <w:rFonts w:asciiTheme="majorHAnsi" w:eastAsiaTheme="majorEastAsia" w:hAnsiTheme="majorHAnsi" w:cstheme="majorBidi"/>
      <w:i/>
      <w:iCs/>
      <w:color w:val="004C8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9D9"/>
    <w:rPr>
      <w:rFonts w:asciiTheme="majorHAnsi" w:eastAsiaTheme="majorEastAsia" w:hAnsiTheme="majorHAnsi" w:cstheme="majorBidi"/>
      <w:i/>
      <w:iCs/>
      <w:color w:val="004C83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rsid w:val="00F359D9"/>
    <w:rPr>
      <w:b/>
      <w:bCs/>
      <w:i/>
      <w:iCs/>
      <w:color w:val="004C83" w:themeColor="accent1"/>
    </w:rPr>
  </w:style>
  <w:style w:type="paragraph" w:customStyle="1" w:styleId="Opsomming2">
    <w:name w:val="Opsomming 2"/>
    <w:basedOn w:val="Normal"/>
    <w:link w:val="Opsomming2Char"/>
    <w:rsid w:val="002D10AF"/>
    <w:pPr>
      <w:numPr>
        <w:numId w:val="11"/>
      </w:numPr>
    </w:pPr>
  </w:style>
  <w:style w:type="character" w:styleId="BookTitle">
    <w:name w:val="Book Title"/>
    <w:basedOn w:val="DefaultParagraphFont"/>
    <w:uiPriority w:val="33"/>
    <w:rsid w:val="002D10AF"/>
    <w:rPr>
      <w:b/>
      <w:bCs/>
      <w:smallCaps/>
      <w:spacing w:val="5"/>
    </w:rPr>
  </w:style>
  <w:style w:type="character" w:customStyle="1" w:styleId="ListParagraphChar">
    <w:name w:val="List Paragraph Char"/>
    <w:aliases w:val="Opsomming 1 Char"/>
    <w:basedOn w:val="DefaultParagraphFont"/>
    <w:link w:val="ListParagraph"/>
    <w:uiPriority w:val="34"/>
    <w:rsid w:val="002D10AF"/>
    <w:rPr>
      <w:lang w:val="nl-NL"/>
    </w:rPr>
  </w:style>
  <w:style w:type="character" w:customStyle="1" w:styleId="Opsomming2Char">
    <w:name w:val="Opsomming 2 Char"/>
    <w:basedOn w:val="ListParagraphChar"/>
    <w:link w:val="Opsomming2"/>
    <w:rsid w:val="002D10AF"/>
    <w:rPr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0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05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E04AC"/>
    <w:rPr>
      <w:rFonts w:asciiTheme="majorHAnsi" w:eastAsiaTheme="majorEastAsia" w:hAnsiTheme="majorHAnsi" w:cstheme="majorBidi"/>
      <w:i/>
      <w:iCs/>
      <w:color w:val="00386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04AC"/>
    <w:rPr>
      <w:rFonts w:asciiTheme="majorHAnsi" w:eastAsiaTheme="majorEastAsia" w:hAnsiTheme="majorHAnsi" w:cstheme="majorBidi"/>
      <w:color w:val="003862" w:themeColor="accent1" w:themeShade="BF"/>
    </w:rPr>
  </w:style>
  <w:style w:type="table" w:styleId="TableGrid">
    <w:name w:val="Table Grid"/>
    <w:basedOn w:val="TableNormal"/>
    <w:uiPriority w:val="59"/>
    <w:rsid w:val="0006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2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C0"/>
    <w:rPr>
      <w:b/>
      <w:bCs/>
      <w:sz w:val="20"/>
      <w:szCs w:val="20"/>
    </w:rPr>
  </w:style>
  <w:style w:type="paragraph" w:styleId="NoSpacing">
    <w:name w:val="No Spacing"/>
    <w:uiPriority w:val="1"/>
    <w:qFormat/>
    <w:rsid w:val="00EA65D7"/>
    <w:pPr>
      <w:spacing w:after="0" w:line="240" w:lineRule="auto"/>
      <w:jc w:val="both"/>
    </w:pPr>
    <w:rPr>
      <w:rFonts w:ascii="Segoe UI" w:eastAsia="MS Mincho" w:hAnsi="Segoe UI" w:cs="Segoe UI"/>
      <w:sz w:val="19"/>
      <w:szCs w:val="19"/>
      <w:lang w:val="fr-FR"/>
    </w:rPr>
  </w:style>
  <w:style w:type="numbering" w:customStyle="1" w:styleId="ListTom">
    <w:name w:val="List Tom"/>
    <w:basedOn w:val="NoList"/>
    <w:rsid w:val="00EA65D7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hh@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Protos sjabloon">
      <a:dk1>
        <a:sysClr val="windowText" lastClr="000000"/>
      </a:dk1>
      <a:lt1>
        <a:sysClr val="window" lastClr="FFFFFF"/>
      </a:lt1>
      <a:dk2>
        <a:srgbClr val="004C83"/>
      </a:dk2>
      <a:lt2>
        <a:srgbClr val="EEECE1"/>
      </a:lt2>
      <a:accent1>
        <a:srgbClr val="004C83"/>
      </a:accent1>
      <a:accent2>
        <a:srgbClr val="00A784"/>
      </a:accent2>
      <a:accent3>
        <a:srgbClr val="BC6124"/>
      </a:accent3>
      <a:accent4>
        <a:srgbClr val="004C83"/>
      </a:accent4>
      <a:accent5>
        <a:srgbClr val="00A784"/>
      </a:accent5>
      <a:accent6>
        <a:srgbClr val="BC6124"/>
      </a:accent6>
      <a:hlink>
        <a:srgbClr val="00A784"/>
      </a:hlink>
      <a:folHlink>
        <a:srgbClr val="BC612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BD69-0DB7-4303-9D0E-D5C6AC8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1666</Words>
  <Characters>9169</Characters>
  <Application>Microsoft Office Word</Application>
  <DocSecurity>0</DocSecurity>
  <Lines>76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Slimbrouck</dc:creator>
  <cp:keywords/>
  <dc:description/>
  <cp:lastModifiedBy>Ilse Roels</cp:lastModifiedBy>
  <cp:revision>14</cp:revision>
  <dcterms:created xsi:type="dcterms:W3CDTF">2021-02-26T17:52:00Z</dcterms:created>
  <dcterms:modified xsi:type="dcterms:W3CDTF">2021-03-03T02:29:00Z</dcterms:modified>
</cp:coreProperties>
</file>