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0C" w:rsidRPr="00336E78" w:rsidRDefault="0079510C" w:rsidP="00953700">
      <w:pPr>
        <w:spacing w:after="0" w:line="240" w:lineRule="auto"/>
        <w:ind w:left="2880" w:firstLine="720"/>
        <w:jc w:val="both"/>
        <w:rPr>
          <w:rFonts w:ascii="Times New Roman" w:hAnsi="Times New Roman" w:cs="Times New Roman"/>
          <w:b/>
          <w:sz w:val="24"/>
          <w:szCs w:val="24"/>
          <w:lang w:val="fr-FR"/>
        </w:rPr>
      </w:pPr>
      <w:r w:rsidRPr="00336E78">
        <w:rPr>
          <w:rFonts w:ascii="Times New Roman" w:hAnsi="Times New Roman" w:cs="Times New Roman"/>
          <w:b/>
          <w:sz w:val="24"/>
          <w:szCs w:val="24"/>
          <w:lang w:val="fr-FR"/>
        </w:rPr>
        <w:t>Termes De Référence</w:t>
      </w:r>
    </w:p>
    <w:p w:rsidR="00090F1A" w:rsidRPr="00336E78" w:rsidRDefault="00090F1A" w:rsidP="00953700">
      <w:pPr>
        <w:spacing w:after="0" w:line="240" w:lineRule="auto"/>
        <w:ind w:left="2880" w:firstLine="720"/>
        <w:jc w:val="both"/>
        <w:rPr>
          <w:rFonts w:ascii="Times New Roman" w:hAnsi="Times New Roman" w:cs="Times New Roman"/>
          <w:b/>
          <w:sz w:val="24"/>
          <w:szCs w:val="24"/>
          <w:lang w:val="fr-FR"/>
        </w:rPr>
      </w:pPr>
    </w:p>
    <w:p w:rsidR="0082590C" w:rsidRPr="00336E78" w:rsidRDefault="0079510C" w:rsidP="00953700">
      <w:pPr>
        <w:jc w:val="both"/>
        <w:rPr>
          <w:rFonts w:ascii="Times New Roman" w:hAnsi="Times New Roman" w:cs="Times New Roman"/>
          <w:b/>
          <w:sz w:val="24"/>
          <w:szCs w:val="24"/>
          <w:lang w:val="fr-FR"/>
        </w:rPr>
      </w:pPr>
      <w:r w:rsidRPr="00336E78">
        <w:rPr>
          <w:rFonts w:ascii="Times New Roman" w:hAnsi="Times New Roman" w:cs="Times New Roman"/>
          <w:b/>
          <w:sz w:val="24"/>
          <w:szCs w:val="24"/>
          <w:lang w:val="fr-FR"/>
        </w:rPr>
        <w:t>Achat de services Assistance technique</w:t>
      </w:r>
    </w:p>
    <w:p w:rsidR="00FE2CE5" w:rsidRPr="00336E78" w:rsidRDefault="00FE2CE5" w:rsidP="00953700">
      <w:pPr>
        <w:pStyle w:val="ListParagraph"/>
        <w:numPr>
          <w:ilvl w:val="0"/>
          <w:numId w:val="8"/>
        </w:numPr>
        <w:jc w:val="both"/>
        <w:rPr>
          <w:rFonts w:ascii="Times New Roman" w:hAnsi="Times New Roman" w:cs="Times New Roman"/>
          <w:b/>
          <w:sz w:val="24"/>
          <w:szCs w:val="24"/>
          <w:u w:val="single"/>
          <w:lang w:val="fr-FR"/>
        </w:rPr>
      </w:pPr>
      <w:r w:rsidRPr="00336E78">
        <w:rPr>
          <w:rFonts w:ascii="Times New Roman" w:hAnsi="Times New Roman" w:cs="Times New Roman"/>
          <w:b/>
          <w:sz w:val="24"/>
          <w:szCs w:val="24"/>
          <w:u w:val="single"/>
          <w:lang w:val="fr-FR"/>
        </w:rPr>
        <w:t>Mise en contexte</w:t>
      </w:r>
    </w:p>
    <w:p w:rsidR="00FE2CE5" w:rsidRPr="00336E78" w:rsidRDefault="003F0439" w:rsidP="00953700">
      <w:pPr>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 xml:space="preserve">Les programmes nationaux de lutte contre le </w:t>
      </w:r>
      <w:r w:rsidR="00E7663D" w:rsidRPr="00336E78">
        <w:rPr>
          <w:rFonts w:ascii="Times New Roman" w:hAnsi="Times New Roman" w:cs="Times New Roman"/>
          <w:sz w:val="24"/>
          <w:szCs w:val="24"/>
          <w:lang w:val="fr-FR"/>
        </w:rPr>
        <w:t>VIH-SIDA</w:t>
      </w:r>
      <w:r w:rsidR="00FE2CE5" w:rsidRPr="00336E78">
        <w:rPr>
          <w:rFonts w:ascii="Times New Roman" w:hAnsi="Times New Roman" w:cs="Times New Roman"/>
          <w:sz w:val="24"/>
          <w:szCs w:val="24"/>
          <w:lang w:val="fr-FR"/>
        </w:rPr>
        <w:t>, TB</w:t>
      </w:r>
      <w:r w:rsidRPr="00336E78">
        <w:rPr>
          <w:rFonts w:ascii="Times New Roman" w:hAnsi="Times New Roman" w:cs="Times New Roman"/>
          <w:sz w:val="24"/>
          <w:szCs w:val="24"/>
          <w:lang w:val="fr-FR"/>
        </w:rPr>
        <w:t xml:space="preserve"> et la communauté internat</w:t>
      </w:r>
      <w:r w:rsidR="00FE2CE5" w:rsidRPr="00336E78">
        <w:rPr>
          <w:rFonts w:ascii="Times New Roman" w:hAnsi="Times New Roman" w:cs="Times New Roman"/>
          <w:sz w:val="24"/>
          <w:szCs w:val="24"/>
          <w:lang w:val="fr-FR"/>
        </w:rPr>
        <w:t xml:space="preserve">ionale ont fait </w:t>
      </w:r>
      <w:r w:rsidRPr="00336E78">
        <w:rPr>
          <w:rFonts w:ascii="Times New Roman" w:hAnsi="Times New Roman" w:cs="Times New Roman"/>
          <w:sz w:val="24"/>
          <w:szCs w:val="24"/>
          <w:lang w:val="fr-FR"/>
        </w:rPr>
        <w:t xml:space="preserve">de l’accès universel aux services de prévention, de traitement, de soins et d’appui </w:t>
      </w:r>
      <w:r w:rsidR="00FE2CE5" w:rsidRPr="00336E78">
        <w:rPr>
          <w:rFonts w:ascii="Times New Roman" w:hAnsi="Times New Roman" w:cs="Times New Roman"/>
          <w:sz w:val="24"/>
          <w:szCs w:val="24"/>
          <w:lang w:val="fr-FR"/>
        </w:rPr>
        <w:t>leur l’objectif</w:t>
      </w:r>
      <w:r w:rsidRPr="00336E78">
        <w:rPr>
          <w:rFonts w:ascii="Times New Roman" w:hAnsi="Times New Roman" w:cs="Times New Roman"/>
          <w:sz w:val="24"/>
          <w:szCs w:val="24"/>
          <w:lang w:val="fr-FR"/>
        </w:rPr>
        <w:t xml:space="preserve">. Dans cette perspective, les pays doivent tout d’abord surmonter les problèmes faisant obstacle tant à la fourniture de ces services qu’au recours à ces services. </w:t>
      </w:r>
    </w:p>
    <w:p w:rsidR="00FE2CE5" w:rsidRPr="00336E78" w:rsidRDefault="00FE2CE5" w:rsidP="00953700">
      <w:pPr>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La Conférence d’Alma-Ata réaffirme avec force que la santé, qui est un état de complet bien-être physique, mental et social est un droit fondamental de l'être humain.</w:t>
      </w:r>
    </w:p>
    <w:p w:rsidR="00FE2CE5" w:rsidRPr="00336E78" w:rsidRDefault="007C00B5" w:rsidP="00953700">
      <w:pPr>
        <w:jc w:val="both"/>
        <w:rPr>
          <w:rFonts w:ascii="Times New Roman" w:hAnsi="Times New Roman" w:cs="Times New Roman"/>
          <w:sz w:val="24"/>
          <w:szCs w:val="24"/>
          <w:lang w:val="fr-FR"/>
        </w:rPr>
      </w:pPr>
      <w:r w:rsidRPr="00336E78">
        <w:rPr>
          <w:rStyle w:val="e24kjd"/>
          <w:rFonts w:ascii="Times New Roman" w:hAnsi="Times New Roman" w:cs="Times New Roman"/>
          <w:sz w:val="24"/>
          <w:szCs w:val="24"/>
          <w:lang w:val="fr-FR"/>
        </w:rPr>
        <w:t>Associ</w:t>
      </w:r>
      <w:r w:rsidR="00E7663D" w:rsidRPr="00336E78">
        <w:rPr>
          <w:rFonts w:ascii="Times New Roman" w:hAnsi="Times New Roman" w:cs="Times New Roman"/>
          <w:sz w:val="24"/>
          <w:szCs w:val="24"/>
          <w:lang w:val="fr-FR"/>
        </w:rPr>
        <w:t>é</w:t>
      </w:r>
      <w:r w:rsidR="00A73D01" w:rsidRPr="00336E78">
        <w:rPr>
          <w:rFonts w:ascii="Times New Roman" w:hAnsi="Times New Roman" w:cs="Times New Roman"/>
          <w:sz w:val="24"/>
          <w:szCs w:val="24"/>
          <w:lang w:val="fr-FR"/>
        </w:rPr>
        <w:t xml:space="preserve"> </w:t>
      </w:r>
      <w:r w:rsidR="00E7663D" w:rsidRPr="00336E78">
        <w:rPr>
          <w:rStyle w:val="e24kjd"/>
          <w:rFonts w:ascii="Times New Roman" w:hAnsi="Times New Roman" w:cs="Times New Roman"/>
          <w:sz w:val="24"/>
          <w:szCs w:val="24"/>
          <w:lang w:val="fr-FR"/>
        </w:rPr>
        <w:t>à</w:t>
      </w:r>
      <w:r w:rsidRPr="00336E78">
        <w:rPr>
          <w:rStyle w:val="e24kjd"/>
          <w:rFonts w:ascii="Times New Roman" w:hAnsi="Times New Roman" w:cs="Times New Roman"/>
          <w:sz w:val="24"/>
          <w:szCs w:val="24"/>
          <w:lang w:val="fr-FR"/>
        </w:rPr>
        <w:t xml:space="preserve"> tout cela l</w:t>
      </w:r>
      <w:r w:rsidR="00FE2CE5" w:rsidRPr="00336E78">
        <w:rPr>
          <w:rStyle w:val="e24kjd"/>
          <w:rFonts w:ascii="Times New Roman" w:hAnsi="Times New Roman" w:cs="Times New Roman"/>
          <w:sz w:val="24"/>
          <w:szCs w:val="24"/>
          <w:lang w:val="fr-FR"/>
        </w:rPr>
        <w:t xml:space="preserve">a constitution haïtienne de 1987 </w:t>
      </w:r>
      <w:r w:rsidRPr="00336E78">
        <w:rPr>
          <w:rStyle w:val="e24kjd"/>
          <w:rFonts w:ascii="Times New Roman" w:hAnsi="Times New Roman" w:cs="Times New Roman"/>
          <w:sz w:val="24"/>
          <w:szCs w:val="24"/>
          <w:lang w:val="fr-FR"/>
        </w:rPr>
        <w:t xml:space="preserve">amendée </w:t>
      </w:r>
      <w:r w:rsidR="00992DF3" w:rsidRPr="00336E78">
        <w:rPr>
          <w:rStyle w:val="e24kjd"/>
          <w:rFonts w:ascii="Times New Roman" w:hAnsi="Times New Roman" w:cs="Times New Roman"/>
          <w:sz w:val="24"/>
          <w:szCs w:val="24"/>
          <w:lang w:val="fr-FR"/>
        </w:rPr>
        <w:t>reconnait</w:t>
      </w:r>
      <w:r w:rsidR="00FE2CE5" w:rsidRPr="00336E78">
        <w:rPr>
          <w:rStyle w:val="e24kjd"/>
          <w:rFonts w:ascii="Times New Roman" w:hAnsi="Times New Roman" w:cs="Times New Roman"/>
          <w:sz w:val="24"/>
          <w:szCs w:val="24"/>
          <w:lang w:val="fr-FR"/>
        </w:rPr>
        <w:t xml:space="preserve"> que la </w:t>
      </w:r>
      <w:r w:rsidR="00FE2CE5" w:rsidRPr="00336E78">
        <w:rPr>
          <w:rStyle w:val="e24kjd"/>
          <w:rFonts w:ascii="Times New Roman" w:hAnsi="Times New Roman" w:cs="Times New Roman"/>
          <w:bCs/>
          <w:sz w:val="24"/>
          <w:szCs w:val="24"/>
          <w:lang w:val="fr-FR"/>
        </w:rPr>
        <w:t>santé</w:t>
      </w:r>
      <w:r w:rsidR="00FE2CE5" w:rsidRPr="00336E78">
        <w:rPr>
          <w:rStyle w:val="e24kjd"/>
          <w:rFonts w:ascii="Times New Roman" w:hAnsi="Times New Roman" w:cs="Times New Roman"/>
          <w:sz w:val="24"/>
          <w:szCs w:val="24"/>
          <w:lang w:val="fr-FR"/>
        </w:rPr>
        <w:t xml:space="preserve"> est un droit fondamental, et </w:t>
      </w:r>
      <w:r w:rsidR="00331ABB" w:rsidRPr="00336E78">
        <w:rPr>
          <w:rStyle w:val="e24kjd"/>
          <w:rFonts w:ascii="Times New Roman" w:hAnsi="Times New Roman" w:cs="Times New Roman"/>
          <w:sz w:val="24"/>
          <w:szCs w:val="24"/>
          <w:lang w:val="fr-FR"/>
        </w:rPr>
        <w:t xml:space="preserve">de plus </w:t>
      </w:r>
      <w:r w:rsidR="00FE2CE5" w:rsidRPr="00336E78">
        <w:rPr>
          <w:rStyle w:val="e24kjd"/>
          <w:rFonts w:ascii="Times New Roman" w:hAnsi="Times New Roman" w:cs="Times New Roman"/>
          <w:bCs/>
          <w:sz w:val="24"/>
          <w:szCs w:val="24"/>
          <w:lang w:val="fr-FR"/>
        </w:rPr>
        <w:t>Haïti</w:t>
      </w:r>
      <w:r w:rsidR="00FE2CE5" w:rsidRPr="00336E78">
        <w:rPr>
          <w:rStyle w:val="e24kjd"/>
          <w:rFonts w:ascii="Times New Roman" w:hAnsi="Times New Roman" w:cs="Times New Roman"/>
          <w:sz w:val="24"/>
          <w:szCs w:val="24"/>
          <w:lang w:val="fr-FR"/>
        </w:rPr>
        <w:t xml:space="preserve"> a ratifié toutes les lois et conventions internationales par rapport au droit à la </w:t>
      </w:r>
      <w:r w:rsidR="00FE2CE5" w:rsidRPr="00336E78">
        <w:rPr>
          <w:rStyle w:val="e24kjd"/>
          <w:rFonts w:ascii="Times New Roman" w:hAnsi="Times New Roman" w:cs="Times New Roman"/>
          <w:bCs/>
          <w:sz w:val="24"/>
          <w:szCs w:val="24"/>
          <w:lang w:val="fr-FR"/>
        </w:rPr>
        <w:t>santé</w:t>
      </w:r>
      <w:r w:rsidR="00FE2CE5" w:rsidRPr="00336E78">
        <w:rPr>
          <w:rStyle w:val="e24kjd"/>
          <w:rFonts w:ascii="Times New Roman" w:hAnsi="Times New Roman" w:cs="Times New Roman"/>
          <w:sz w:val="24"/>
          <w:szCs w:val="24"/>
          <w:lang w:val="fr-FR"/>
        </w:rPr>
        <w:t>.</w:t>
      </w:r>
      <w:r w:rsidR="00331ABB" w:rsidRPr="00336E78">
        <w:rPr>
          <w:rFonts w:ascii="Times New Roman" w:hAnsi="Times New Roman" w:cs="Times New Roman"/>
          <w:sz w:val="24"/>
          <w:szCs w:val="24"/>
          <w:lang w:val="fr-FR"/>
        </w:rPr>
        <w:t xml:space="preserve"> Selon certain document de l’OMS </w:t>
      </w:r>
      <w:r w:rsidR="00FE2CE5" w:rsidRPr="00336E78">
        <w:rPr>
          <w:rFonts w:ascii="Times New Roman" w:hAnsi="Times New Roman" w:cs="Times New Roman"/>
          <w:sz w:val="24"/>
          <w:szCs w:val="24"/>
          <w:lang w:val="fr-FR"/>
        </w:rPr>
        <w:t xml:space="preserve">la stigmatisation est </w:t>
      </w:r>
      <w:r w:rsidR="00331ABB" w:rsidRPr="00336E78">
        <w:rPr>
          <w:rFonts w:ascii="Times New Roman" w:hAnsi="Times New Roman" w:cs="Times New Roman"/>
          <w:sz w:val="24"/>
          <w:szCs w:val="24"/>
          <w:lang w:val="fr-FR"/>
        </w:rPr>
        <w:t xml:space="preserve">considérée comme étant </w:t>
      </w:r>
      <w:r w:rsidR="00FE2CE5" w:rsidRPr="00336E78">
        <w:rPr>
          <w:rFonts w:ascii="Times New Roman" w:hAnsi="Times New Roman" w:cs="Times New Roman"/>
          <w:sz w:val="24"/>
          <w:szCs w:val="24"/>
          <w:lang w:val="fr-FR"/>
        </w:rPr>
        <w:t>un phénomène social très commun, basé sur la discrimination d’un individu ou d’un sous-groupe d’individus par un groupe dominant ou majoritaire. Discuté habituellement dans le contexte spécifique de la psychiatrie, ce phénomène existe aussi dans d’autres domaines de la médecine. Il touche non seulement les patients mais également leurs proches, et il n’est pas rare non plus que les soignants eux-mêmes y participent, que ce soit par leur attitude à l’égard de certains patients ou par la façon de pratiquer leur travail en fonction de certaines pathologies.</w:t>
      </w:r>
    </w:p>
    <w:p w:rsidR="0043533B" w:rsidRPr="00336E78" w:rsidRDefault="00A73D01" w:rsidP="0043533B">
      <w:pPr>
        <w:spacing w:after="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 xml:space="preserve">C’est </w:t>
      </w:r>
      <w:r w:rsidR="00FE2CE5" w:rsidRPr="00336E78">
        <w:rPr>
          <w:rFonts w:ascii="Times New Roman" w:hAnsi="Times New Roman" w:cs="Times New Roman"/>
          <w:sz w:val="24"/>
          <w:szCs w:val="24"/>
          <w:lang w:val="fr-FR"/>
        </w:rPr>
        <w:t>dans ce contexte que l’Unité de Coordination des Maladies Infectieuses et Transmissibles</w:t>
      </w:r>
      <w:r w:rsidR="00082E88" w:rsidRPr="00336E78">
        <w:rPr>
          <w:rFonts w:ascii="Times New Roman" w:hAnsi="Times New Roman" w:cs="Times New Roman"/>
          <w:sz w:val="24"/>
          <w:szCs w:val="24"/>
          <w:lang w:val="fr-FR"/>
        </w:rPr>
        <w:t xml:space="preserve"> veut recruter une firme ou un consultant pour </w:t>
      </w:r>
      <w:r w:rsidRPr="00336E78">
        <w:rPr>
          <w:rFonts w:ascii="Times New Roman" w:hAnsi="Times New Roman" w:cs="Times New Roman"/>
          <w:sz w:val="24"/>
          <w:szCs w:val="24"/>
          <w:lang w:val="fr-FR"/>
        </w:rPr>
        <w:t>monter deux dossiers d’analyse sur le phénomène de la stigmatisation expérimentée dans nos institutions de santé</w:t>
      </w:r>
      <w:r w:rsidR="0043533B" w:rsidRPr="00336E78">
        <w:rPr>
          <w:rFonts w:ascii="Times New Roman" w:hAnsi="Times New Roman" w:cs="Times New Roman"/>
          <w:sz w:val="24"/>
          <w:szCs w:val="24"/>
          <w:lang w:val="fr-FR"/>
        </w:rPr>
        <w:t> :</w:t>
      </w:r>
    </w:p>
    <w:p w:rsidR="0043533B" w:rsidRPr="00336E78" w:rsidRDefault="0043533B" w:rsidP="0043533B">
      <w:pPr>
        <w:pStyle w:val="ListParagraph"/>
        <w:numPr>
          <w:ilvl w:val="0"/>
          <w:numId w:val="11"/>
        </w:numPr>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 xml:space="preserve">Le premier </w:t>
      </w:r>
      <w:r w:rsidR="007C00B5" w:rsidRPr="00336E78">
        <w:rPr>
          <w:rFonts w:ascii="Times New Roman" w:hAnsi="Times New Roman" w:cs="Times New Roman"/>
          <w:sz w:val="24"/>
          <w:szCs w:val="24"/>
          <w:lang w:val="fr-FR"/>
        </w:rPr>
        <w:t xml:space="preserve">doit </w:t>
      </w:r>
      <w:proofErr w:type="gramStart"/>
      <w:r w:rsidR="00A73D01" w:rsidRPr="00336E78">
        <w:rPr>
          <w:rFonts w:ascii="Times New Roman" w:hAnsi="Times New Roman" w:cs="Times New Roman"/>
          <w:sz w:val="24"/>
          <w:szCs w:val="24"/>
          <w:lang w:val="fr-FR"/>
        </w:rPr>
        <w:t>document</w:t>
      </w:r>
      <w:r w:rsidR="00082E88" w:rsidRPr="00336E78">
        <w:rPr>
          <w:rFonts w:ascii="Times New Roman" w:hAnsi="Times New Roman" w:cs="Times New Roman"/>
          <w:sz w:val="24"/>
          <w:szCs w:val="24"/>
          <w:lang w:val="fr-FR"/>
        </w:rPr>
        <w:t>e</w:t>
      </w:r>
      <w:r w:rsidR="007C00B5" w:rsidRPr="00336E78">
        <w:rPr>
          <w:rFonts w:ascii="Times New Roman" w:hAnsi="Times New Roman" w:cs="Times New Roman"/>
          <w:sz w:val="24"/>
          <w:szCs w:val="24"/>
          <w:lang w:val="fr-FR"/>
        </w:rPr>
        <w:t>r</w:t>
      </w:r>
      <w:proofErr w:type="gramEnd"/>
      <w:r w:rsidR="00082E88" w:rsidRPr="00336E78">
        <w:rPr>
          <w:rFonts w:ascii="Times New Roman" w:hAnsi="Times New Roman" w:cs="Times New Roman"/>
          <w:sz w:val="24"/>
          <w:szCs w:val="24"/>
          <w:lang w:val="fr-FR"/>
        </w:rPr>
        <w:t xml:space="preserve"> le problème de </w:t>
      </w:r>
      <w:r w:rsidR="00921EB0" w:rsidRPr="00336E78">
        <w:rPr>
          <w:rFonts w:ascii="Times New Roman" w:hAnsi="Times New Roman" w:cs="Times New Roman"/>
          <w:sz w:val="24"/>
          <w:szCs w:val="24"/>
          <w:lang w:val="fr-FR"/>
        </w:rPr>
        <w:t>la</w:t>
      </w:r>
      <w:r w:rsidRPr="00336E78">
        <w:rPr>
          <w:rFonts w:ascii="Times New Roman" w:hAnsi="Times New Roman" w:cs="Times New Roman"/>
          <w:sz w:val="24"/>
          <w:szCs w:val="24"/>
          <w:lang w:val="fr-FR"/>
        </w:rPr>
        <w:t xml:space="preserve"> </w:t>
      </w:r>
      <w:r w:rsidR="007A41DF" w:rsidRPr="00336E78">
        <w:rPr>
          <w:rFonts w:ascii="Times New Roman" w:eastAsia="Times New Roman" w:hAnsi="Times New Roman" w:cs="Times New Roman"/>
          <w:sz w:val="24"/>
          <w:szCs w:val="24"/>
          <w:lang w:val="fr-FR"/>
        </w:rPr>
        <w:t xml:space="preserve">stigmatisation </w:t>
      </w:r>
      <w:r w:rsidR="00A73D01" w:rsidRPr="00336E78">
        <w:rPr>
          <w:rFonts w:ascii="Times New Roman" w:eastAsia="Times New Roman" w:hAnsi="Times New Roman" w:cs="Times New Roman"/>
          <w:sz w:val="24"/>
          <w:szCs w:val="24"/>
          <w:lang w:val="fr-FR"/>
        </w:rPr>
        <w:t>subie par l</w:t>
      </w:r>
      <w:r w:rsidR="00082E88" w:rsidRPr="00336E78">
        <w:rPr>
          <w:rFonts w:ascii="Times New Roman" w:eastAsia="Times New Roman" w:hAnsi="Times New Roman" w:cs="Times New Roman"/>
          <w:sz w:val="24"/>
          <w:szCs w:val="24"/>
          <w:lang w:val="fr-FR"/>
        </w:rPr>
        <w:t xml:space="preserve">es patients </w:t>
      </w:r>
      <w:r w:rsidR="00A73D01" w:rsidRPr="00336E78">
        <w:rPr>
          <w:rFonts w:ascii="Times New Roman" w:eastAsia="Times New Roman" w:hAnsi="Times New Roman" w:cs="Times New Roman"/>
          <w:sz w:val="24"/>
          <w:szCs w:val="24"/>
          <w:lang w:val="fr-FR"/>
        </w:rPr>
        <w:t>en quête de soins  VIH et/ou tuberculose y compris</w:t>
      </w:r>
      <w:r w:rsidRPr="00336E78">
        <w:rPr>
          <w:rFonts w:ascii="Times New Roman" w:eastAsia="Times New Roman" w:hAnsi="Times New Roman" w:cs="Times New Roman"/>
          <w:sz w:val="24"/>
          <w:szCs w:val="24"/>
          <w:lang w:val="fr-FR"/>
        </w:rPr>
        <w:t xml:space="preserve"> </w:t>
      </w:r>
      <w:r w:rsidR="00082E88" w:rsidRPr="00336E78">
        <w:rPr>
          <w:rFonts w:ascii="Times New Roman" w:eastAsia="Times New Roman" w:hAnsi="Times New Roman" w:cs="Times New Roman"/>
          <w:sz w:val="24"/>
          <w:szCs w:val="24"/>
          <w:lang w:val="fr-FR"/>
        </w:rPr>
        <w:t>de</w:t>
      </w:r>
      <w:r w:rsidR="00A73D01" w:rsidRPr="00336E78">
        <w:rPr>
          <w:rFonts w:ascii="Times New Roman" w:eastAsia="Times New Roman" w:hAnsi="Times New Roman" w:cs="Times New Roman"/>
          <w:sz w:val="24"/>
          <w:szCs w:val="24"/>
          <w:lang w:val="fr-FR"/>
        </w:rPr>
        <w:t xml:space="preserve"> façon spécifiques </w:t>
      </w:r>
      <w:r w:rsidR="00082E88" w:rsidRPr="00336E78">
        <w:rPr>
          <w:rFonts w:ascii="Times New Roman" w:eastAsia="Times New Roman" w:hAnsi="Times New Roman" w:cs="Times New Roman"/>
          <w:sz w:val="24"/>
          <w:szCs w:val="24"/>
          <w:lang w:val="fr-FR"/>
        </w:rPr>
        <w:t xml:space="preserve"> </w:t>
      </w:r>
      <w:r w:rsidR="00A73D01" w:rsidRPr="00336E78">
        <w:rPr>
          <w:rFonts w:ascii="Times New Roman" w:eastAsia="Times New Roman" w:hAnsi="Times New Roman" w:cs="Times New Roman"/>
          <w:sz w:val="24"/>
          <w:szCs w:val="24"/>
          <w:lang w:val="fr-FR"/>
        </w:rPr>
        <w:t xml:space="preserve">les </w:t>
      </w:r>
      <w:r w:rsidR="00082E88" w:rsidRPr="00336E78">
        <w:rPr>
          <w:rFonts w:ascii="Times New Roman" w:eastAsia="Times New Roman" w:hAnsi="Times New Roman" w:cs="Times New Roman"/>
          <w:sz w:val="24"/>
          <w:szCs w:val="24"/>
          <w:lang w:val="fr-FR"/>
        </w:rPr>
        <w:t xml:space="preserve">populations </w:t>
      </w:r>
      <w:r w:rsidR="00A73D01" w:rsidRPr="00336E78">
        <w:rPr>
          <w:rFonts w:ascii="Times New Roman" w:eastAsia="Times New Roman" w:hAnsi="Times New Roman" w:cs="Times New Roman"/>
          <w:sz w:val="24"/>
          <w:szCs w:val="24"/>
          <w:lang w:val="fr-FR"/>
        </w:rPr>
        <w:t>clés</w:t>
      </w:r>
      <w:r w:rsidR="007C00B5" w:rsidRPr="00336E78">
        <w:rPr>
          <w:rFonts w:ascii="Times New Roman" w:eastAsia="Times New Roman" w:hAnsi="Times New Roman" w:cs="Times New Roman"/>
          <w:sz w:val="24"/>
          <w:szCs w:val="24"/>
          <w:lang w:val="fr-FR"/>
        </w:rPr>
        <w:t xml:space="preserve"> dans les é</w:t>
      </w:r>
      <w:r w:rsidR="00A73D01" w:rsidRPr="00336E78">
        <w:rPr>
          <w:rFonts w:ascii="Times New Roman" w:eastAsia="Times New Roman" w:hAnsi="Times New Roman" w:cs="Times New Roman"/>
          <w:sz w:val="24"/>
          <w:szCs w:val="24"/>
          <w:lang w:val="fr-FR"/>
        </w:rPr>
        <w:t>tablissements des soins.</w:t>
      </w:r>
    </w:p>
    <w:p w:rsidR="0043533B" w:rsidRPr="00336E78" w:rsidRDefault="0043533B" w:rsidP="00953700">
      <w:pPr>
        <w:pStyle w:val="ListParagraph"/>
        <w:numPr>
          <w:ilvl w:val="0"/>
          <w:numId w:val="11"/>
        </w:numPr>
        <w:jc w:val="both"/>
        <w:rPr>
          <w:rFonts w:ascii="Times New Roman" w:hAnsi="Times New Roman" w:cs="Times New Roman"/>
          <w:sz w:val="24"/>
          <w:szCs w:val="24"/>
          <w:lang w:val="fr-FR"/>
        </w:rPr>
      </w:pPr>
      <w:r w:rsidRPr="00336E78">
        <w:rPr>
          <w:rFonts w:ascii="Times New Roman" w:eastAsia="Times New Roman" w:hAnsi="Times New Roman" w:cs="Times New Roman"/>
          <w:sz w:val="24"/>
          <w:szCs w:val="24"/>
          <w:lang w:val="fr-FR"/>
        </w:rPr>
        <w:t xml:space="preserve">Le second </w:t>
      </w:r>
      <w:r w:rsidR="00A73D01" w:rsidRPr="00336E78">
        <w:rPr>
          <w:rFonts w:ascii="Times New Roman" w:eastAsia="Times New Roman" w:hAnsi="Times New Roman" w:cs="Times New Roman"/>
          <w:sz w:val="24"/>
          <w:szCs w:val="24"/>
          <w:lang w:val="fr-FR"/>
        </w:rPr>
        <w:t xml:space="preserve">doit faire état des mesures à adopter dans les limites du dispositif règlementaire </w:t>
      </w:r>
      <w:r w:rsidR="00A73D01" w:rsidRPr="00336E78">
        <w:rPr>
          <w:rFonts w:ascii="Times New Roman" w:hAnsi="Times New Roman" w:cs="Times New Roman"/>
          <w:sz w:val="24"/>
          <w:szCs w:val="24"/>
          <w:lang w:val="fr-FR"/>
        </w:rPr>
        <w:t>pour protéger les patients</w:t>
      </w:r>
      <w:r w:rsidR="00A73D01" w:rsidRPr="00336E78">
        <w:rPr>
          <w:rFonts w:ascii="Times New Roman" w:eastAsia="Times New Roman" w:hAnsi="Times New Roman" w:cs="Times New Roman"/>
          <w:sz w:val="24"/>
          <w:szCs w:val="24"/>
          <w:lang w:val="fr-FR"/>
        </w:rPr>
        <w:t xml:space="preserve"> et lutter contre la </w:t>
      </w:r>
      <w:r w:rsidR="00A73D01" w:rsidRPr="00336E78">
        <w:rPr>
          <w:rFonts w:ascii="Times New Roman" w:hAnsi="Times New Roman" w:cs="Times New Roman"/>
          <w:sz w:val="24"/>
          <w:szCs w:val="24"/>
          <w:lang w:val="fr-FR"/>
        </w:rPr>
        <w:t>stigmatisation</w:t>
      </w:r>
      <w:r w:rsidR="00A73D01" w:rsidRPr="00336E78">
        <w:rPr>
          <w:rFonts w:ascii="Times New Roman" w:eastAsia="Times New Roman" w:hAnsi="Times New Roman" w:cs="Times New Roman"/>
          <w:sz w:val="24"/>
          <w:szCs w:val="24"/>
          <w:lang w:val="fr-FR"/>
        </w:rPr>
        <w:t xml:space="preserve"> en prenant</w:t>
      </w:r>
      <w:r w:rsidR="007C00B5" w:rsidRPr="00336E78">
        <w:rPr>
          <w:rFonts w:ascii="Times New Roman" w:hAnsi="Times New Roman" w:cs="Times New Roman"/>
          <w:sz w:val="24"/>
          <w:szCs w:val="24"/>
          <w:lang w:val="fr-FR"/>
        </w:rPr>
        <w:t xml:space="preserve"> en compte les politiques, les lois et l'env</w:t>
      </w:r>
      <w:r w:rsidR="00A73D01" w:rsidRPr="00336E78">
        <w:rPr>
          <w:rFonts w:ascii="Times New Roman" w:hAnsi="Times New Roman" w:cs="Times New Roman"/>
          <w:sz w:val="24"/>
          <w:szCs w:val="24"/>
          <w:lang w:val="fr-FR"/>
        </w:rPr>
        <w:t>ironnement juridique en général</w:t>
      </w:r>
      <w:bookmarkStart w:id="0" w:name="_GoBack"/>
      <w:bookmarkEnd w:id="0"/>
      <w:r w:rsidR="007C00B5" w:rsidRPr="00336E78">
        <w:rPr>
          <w:rFonts w:ascii="Times New Roman" w:hAnsi="Times New Roman" w:cs="Times New Roman"/>
          <w:sz w:val="24"/>
          <w:szCs w:val="24"/>
          <w:lang w:val="fr-FR"/>
        </w:rPr>
        <w:t>.</w:t>
      </w:r>
    </w:p>
    <w:p w:rsidR="007F53AA" w:rsidRPr="00336E78" w:rsidRDefault="007A41DF" w:rsidP="00953700">
      <w:pPr>
        <w:jc w:val="both"/>
        <w:rPr>
          <w:rFonts w:ascii="Times New Roman" w:hAnsi="Times New Roman" w:cs="Times New Roman"/>
          <w:b/>
          <w:sz w:val="24"/>
          <w:szCs w:val="24"/>
          <w:u w:val="single"/>
          <w:lang w:val="fr-FR"/>
        </w:rPr>
      </w:pPr>
      <w:r w:rsidRPr="00336E78">
        <w:rPr>
          <w:rFonts w:ascii="Times New Roman" w:hAnsi="Times New Roman" w:cs="Times New Roman"/>
          <w:b/>
          <w:sz w:val="24"/>
          <w:szCs w:val="24"/>
          <w:u w:val="single"/>
          <w:lang w:val="fr-FR"/>
        </w:rPr>
        <w:t>Objectif</w:t>
      </w:r>
      <w:r w:rsidR="007F53AA" w:rsidRPr="00336E78">
        <w:rPr>
          <w:rFonts w:ascii="Times New Roman" w:hAnsi="Times New Roman" w:cs="Times New Roman"/>
          <w:b/>
          <w:sz w:val="24"/>
          <w:szCs w:val="24"/>
          <w:u w:val="single"/>
          <w:lang w:val="fr-FR"/>
        </w:rPr>
        <w:t>.</w:t>
      </w:r>
    </w:p>
    <w:p w:rsidR="007F53AA" w:rsidRPr="00336E78" w:rsidRDefault="00221B2F" w:rsidP="00953700">
      <w:pPr>
        <w:jc w:val="both"/>
        <w:rPr>
          <w:rFonts w:ascii="Times New Roman" w:hAnsi="Times New Roman" w:cs="Times New Roman"/>
          <w:b/>
          <w:sz w:val="24"/>
          <w:szCs w:val="24"/>
          <w:lang w:val="fr-FR"/>
        </w:rPr>
      </w:pPr>
      <w:r w:rsidRPr="00336E78">
        <w:rPr>
          <w:rFonts w:ascii="Times New Roman" w:hAnsi="Times New Roman" w:cs="Times New Roman"/>
          <w:sz w:val="24"/>
          <w:szCs w:val="24"/>
          <w:lang w:val="fr-FR"/>
        </w:rPr>
        <w:t xml:space="preserve">Proposer </w:t>
      </w:r>
      <w:r w:rsidR="007F53AA" w:rsidRPr="00336E78">
        <w:rPr>
          <w:rFonts w:ascii="Times New Roman" w:hAnsi="Times New Roman" w:cs="Times New Roman"/>
          <w:sz w:val="24"/>
          <w:szCs w:val="24"/>
          <w:lang w:val="fr-FR"/>
        </w:rPr>
        <w:t>une méthodologie approprié</w:t>
      </w:r>
      <w:r w:rsidR="00992DF3" w:rsidRPr="00336E78">
        <w:rPr>
          <w:rFonts w:ascii="Times New Roman" w:hAnsi="Times New Roman" w:cs="Times New Roman"/>
          <w:sz w:val="24"/>
          <w:szCs w:val="24"/>
          <w:lang w:val="fr-FR"/>
        </w:rPr>
        <w:t xml:space="preserve">e </w:t>
      </w:r>
      <w:r w:rsidRPr="00336E78">
        <w:rPr>
          <w:rFonts w:ascii="Times New Roman" w:hAnsi="Times New Roman" w:cs="Times New Roman"/>
          <w:sz w:val="24"/>
          <w:szCs w:val="24"/>
          <w:lang w:val="fr-FR"/>
        </w:rPr>
        <w:t>pour documenter et évaluer de manière systématique et mitiger la stigmatisation comme phénomène liée à la prestation des services  de santé</w:t>
      </w:r>
      <w:r w:rsidR="007F53AA" w:rsidRPr="00336E78">
        <w:rPr>
          <w:rFonts w:ascii="Times New Roman" w:hAnsi="Times New Roman" w:cs="Times New Roman"/>
          <w:sz w:val="24"/>
          <w:szCs w:val="24"/>
          <w:lang w:val="fr-FR"/>
        </w:rPr>
        <w:t>.</w:t>
      </w:r>
      <w:r w:rsidRPr="00336E78">
        <w:rPr>
          <w:rFonts w:ascii="Times New Roman" w:hAnsi="Times New Roman" w:cs="Times New Roman"/>
          <w:sz w:val="24"/>
          <w:szCs w:val="24"/>
          <w:lang w:val="fr-FR"/>
        </w:rPr>
        <w:t xml:space="preserve"> En ce sens, il s’agira de :</w:t>
      </w:r>
    </w:p>
    <w:p w:rsidR="0079510C" w:rsidRPr="00336E78" w:rsidRDefault="0079510C" w:rsidP="00221B2F">
      <w:pPr>
        <w:pStyle w:val="ListParagraph"/>
        <w:numPr>
          <w:ilvl w:val="0"/>
          <w:numId w:val="1"/>
        </w:numPr>
        <w:jc w:val="both"/>
        <w:rPr>
          <w:rFonts w:ascii="Times New Roman" w:eastAsia="Times New Roman" w:hAnsi="Times New Roman" w:cs="Times New Roman"/>
          <w:sz w:val="24"/>
          <w:szCs w:val="24"/>
          <w:lang w:val="fr-FR"/>
        </w:rPr>
      </w:pPr>
      <w:r w:rsidRPr="00336E78">
        <w:rPr>
          <w:rFonts w:ascii="Times New Roman" w:eastAsia="Times New Roman" w:hAnsi="Times New Roman" w:cs="Times New Roman"/>
          <w:sz w:val="24"/>
          <w:szCs w:val="24"/>
          <w:lang w:val="fr-FR"/>
        </w:rPr>
        <w:t xml:space="preserve">Développer des indicateurs et des </w:t>
      </w:r>
      <w:r w:rsidR="00221B2F" w:rsidRPr="00336E78">
        <w:rPr>
          <w:rFonts w:ascii="Times New Roman" w:eastAsia="Times New Roman" w:hAnsi="Times New Roman" w:cs="Times New Roman"/>
          <w:sz w:val="24"/>
          <w:szCs w:val="24"/>
          <w:lang w:val="fr-FR"/>
        </w:rPr>
        <w:t xml:space="preserve">mécanismes de suivi permettant de mesurer la stigmatisation </w:t>
      </w:r>
      <w:proofErr w:type="gramStart"/>
      <w:r w:rsidR="00221B2F" w:rsidRPr="00336E78">
        <w:rPr>
          <w:rFonts w:ascii="Times New Roman" w:eastAsia="Times New Roman" w:hAnsi="Times New Roman" w:cs="Times New Roman"/>
          <w:sz w:val="24"/>
          <w:szCs w:val="24"/>
          <w:lang w:val="fr-FR"/>
        </w:rPr>
        <w:t>( perçue</w:t>
      </w:r>
      <w:proofErr w:type="gramEnd"/>
      <w:r w:rsidR="00221B2F" w:rsidRPr="00336E78">
        <w:rPr>
          <w:rFonts w:ascii="Times New Roman" w:eastAsia="Times New Roman" w:hAnsi="Times New Roman" w:cs="Times New Roman"/>
          <w:sz w:val="24"/>
          <w:szCs w:val="24"/>
          <w:lang w:val="fr-FR"/>
        </w:rPr>
        <w:t xml:space="preserve"> ou ressentie )  expérimentée  par les usagers des services VIH ou TB au sein des établissements de soins. </w:t>
      </w:r>
    </w:p>
    <w:p w:rsidR="007A41DF" w:rsidRPr="00336E78" w:rsidRDefault="00221B2F" w:rsidP="00953700">
      <w:pPr>
        <w:pStyle w:val="ListParagraph"/>
        <w:numPr>
          <w:ilvl w:val="0"/>
          <w:numId w:val="1"/>
        </w:numPr>
        <w:jc w:val="both"/>
        <w:rPr>
          <w:rFonts w:ascii="Times New Roman" w:eastAsia="Times New Roman" w:hAnsi="Times New Roman" w:cs="Times New Roman"/>
          <w:sz w:val="24"/>
          <w:szCs w:val="24"/>
          <w:lang w:val="fr-FR"/>
        </w:rPr>
      </w:pPr>
      <w:r w:rsidRPr="00336E78">
        <w:rPr>
          <w:rFonts w:ascii="Times New Roman" w:hAnsi="Times New Roman" w:cs="Times New Roman"/>
          <w:sz w:val="24"/>
          <w:szCs w:val="24"/>
          <w:lang w:val="fr-FR"/>
        </w:rPr>
        <w:lastRenderedPageBreak/>
        <w:t>Produire un document de plaidoyer  tenant compte du cadre juridico-règlementaire</w:t>
      </w:r>
      <w:r w:rsidR="007A41DF" w:rsidRPr="00336E78">
        <w:rPr>
          <w:rFonts w:ascii="Times New Roman" w:hAnsi="Times New Roman" w:cs="Times New Roman"/>
          <w:sz w:val="24"/>
          <w:szCs w:val="24"/>
          <w:lang w:val="fr-FR"/>
        </w:rPr>
        <w:t xml:space="preserve"> </w:t>
      </w:r>
      <w:proofErr w:type="gramStart"/>
      <w:r w:rsidRPr="00336E78">
        <w:rPr>
          <w:rFonts w:ascii="Times New Roman" w:hAnsi="Times New Roman" w:cs="Times New Roman"/>
          <w:sz w:val="24"/>
          <w:szCs w:val="24"/>
          <w:lang w:val="fr-FR"/>
        </w:rPr>
        <w:t>( Lois</w:t>
      </w:r>
      <w:proofErr w:type="gramEnd"/>
      <w:r w:rsidRPr="00336E78">
        <w:rPr>
          <w:rFonts w:ascii="Times New Roman" w:hAnsi="Times New Roman" w:cs="Times New Roman"/>
          <w:sz w:val="24"/>
          <w:szCs w:val="24"/>
          <w:lang w:val="fr-FR"/>
        </w:rPr>
        <w:t xml:space="preserve"> , Politiques publiques et règlements internes) en faveur du respect du droit des utilisateurs/clients des Institutions sanitaires.  </w:t>
      </w:r>
    </w:p>
    <w:p w:rsidR="00221B2F" w:rsidRPr="00336E78" w:rsidRDefault="00221B2F" w:rsidP="00221B2F">
      <w:pPr>
        <w:pStyle w:val="ListParagraph"/>
        <w:numPr>
          <w:ilvl w:val="0"/>
          <w:numId w:val="1"/>
        </w:numPr>
        <w:autoSpaceDE w:val="0"/>
        <w:autoSpaceDN w:val="0"/>
        <w:adjustRightInd w:val="0"/>
        <w:spacing w:after="0"/>
        <w:jc w:val="both"/>
        <w:rPr>
          <w:rFonts w:ascii="Times New Roman" w:hAnsi="Times New Roman" w:cs="Times New Roman"/>
          <w:b/>
          <w:bCs/>
          <w:sz w:val="24"/>
          <w:szCs w:val="24"/>
          <w:lang w:val="fr-FR"/>
        </w:rPr>
      </w:pPr>
      <w:r w:rsidRPr="00336E78">
        <w:rPr>
          <w:rFonts w:ascii="Times New Roman" w:hAnsi="Times New Roman" w:cs="Times New Roman"/>
          <w:sz w:val="24"/>
          <w:szCs w:val="24"/>
          <w:lang w:val="fr-FR"/>
        </w:rPr>
        <w:t>Élaborer du contenu pour le développement de matériels promotionnels (affiches, messages audio visuels, Etc</w:t>
      </w:r>
      <w:proofErr w:type="gramStart"/>
      <w:r w:rsidRPr="00336E78">
        <w:rPr>
          <w:rFonts w:ascii="Times New Roman" w:hAnsi="Times New Roman" w:cs="Times New Roman"/>
          <w:sz w:val="24"/>
          <w:szCs w:val="24"/>
          <w:lang w:val="fr-FR"/>
        </w:rPr>
        <w:t>. )</w:t>
      </w:r>
      <w:proofErr w:type="gramEnd"/>
    </w:p>
    <w:p w:rsidR="00221B2F" w:rsidRPr="00336E78" w:rsidRDefault="00221B2F" w:rsidP="00221B2F">
      <w:pPr>
        <w:pStyle w:val="ListParagraph"/>
        <w:numPr>
          <w:ilvl w:val="0"/>
          <w:numId w:val="1"/>
        </w:numPr>
        <w:autoSpaceDE w:val="0"/>
        <w:autoSpaceDN w:val="0"/>
        <w:adjustRightInd w:val="0"/>
        <w:spacing w:after="0"/>
        <w:jc w:val="both"/>
        <w:rPr>
          <w:rFonts w:ascii="Times New Roman" w:hAnsi="Times New Roman" w:cs="Times New Roman"/>
          <w:b/>
          <w:bCs/>
          <w:sz w:val="24"/>
          <w:szCs w:val="24"/>
          <w:lang w:val="fr-FR"/>
        </w:rPr>
      </w:pPr>
      <w:r w:rsidRPr="00336E78">
        <w:rPr>
          <w:rFonts w:ascii="Times New Roman" w:eastAsia="Times New Roman" w:hAnsi="Times New Roman" w:cs="Times New Roman"/>
          <w:sz w:val="24"/>
          <w:szCs w:val="24"/>
          <w:lang w:val="fr-FR"/>
        </w:rPr>
        <w:t xml:space="preserve">Développer un guide de formation à l’intention des différentes catégories de personnels impliquées dans le circuit patient. </w:t>
      </w:r>
    </w:p>
    <w:p w:rsidR="009C5721" w:rsidRPr="00336E78" w:rsidRDefault="009C5721" w:rsidP="0082590C">
      <w:pPr>
        <w:autoSpaceDE w:val="0"/>
        <w:autoSpaceDN w:val="0"/>
        <w:adjustRightInd w:val="0"/>
        <w:spacing w:after="0"/>
        <w:jc w:val="both"/>
        <w:rPr>
          <w:rFonts w:ascii="Times New Roman" w:hAnsi="Times New Roman" w:cs="Times New Roman"/>
          <w:b/>
          <w:bCs/>
          <w:sz w:val="24"/>
          <w:szCs w:val="24"/>
          <w:lang w:val="fr-FR"/>
        </w:rPr>
      </w:pPr>
    </w:p>
    <w:p w:rsidR="007C72E7" w:rsidRPr="00336E78" w:rsidRDefault="007C72E7" w:rsidP="00953700">
      <w:pPr>
        <w:pStyle w:val="ListParagraph"/>
        <w:numPr>
          <w:ilvl w:val="0"/>
          <w:numId w:val="8"/>
        </w:numPr>
        <w:spacing w:after="120" w:line="240" w:lineRule="auto"/>
        <w:jc w:val="both"/>
        <w:rPr>
          <w:rFonts w:ascii="Times New Roman" w:hAnsi="Times New Roman" w:cs="Times New Roman"/>
          <w:b/>
          <w:sz w:val="24"/>
          <w:szCs w:val="24"/>
          <w:u w:val="single"/>
        </w:rPr>
      </w:pPr>
      <w:proofErr w:type="spellStart"/>
      <w:r w:rsidRPr="00336E78">
        <w:rPr>
          <w:rFonts w:ascii="Times New Roman" w:hAnsi="Times New Roman" w:cs="Times New Roman"/>
          <w:b/>
          <w:sz w:val="24"/>
          <w:szCs w:val="24"/>
          <w:u w:val="single"/>
        </w:rPr>
        <w:t>Processus</w:t>
      </w:r>
      <w:proofErr w:type="spellEnd"/>
      <w:r w:rsidRPr="00336E78">
        <w:rPr>
          <w:rFonts w:ascii="Times New Roman" w:hAnsi="Times New Roman" w:cs="Times New Roman"/>
          <w:b/>
          <w:sz w:val="24"/>
          <w:szCs w:val="24"/>
          <w:u w:val="single"/>
        </w:rPr>
        <w:t xml:space="preserve"> de </w:t>
      </w:r>
      <w:proofErr w:type="spellStart"/>
      <w:r w:rsidRPr="00336E78">
        <w:rPr>
          <w:rFonts w:ascii="Times New Roman" w:hAnsi="Times New Roman" w:cs="Times New Roman"/>
          <w:b/>
          <w:sz w:val="24"/>
          <w:szCs w:val="24"/>
          <w:u w:val="single"/>
        </w:rPr>
        <w:t>recrutement</w:t>
      </w:r>
      <w:proofErr w:type="spellEnd"/>
    </w:p>
    <w:p w:rsidR="007C72E7" w:rsidRPr="00336E78" w:rsidRDefault="007C72E7" w:rsidP="00953700">
      <w:pPr>
        <w:spacing w:after="12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Le choix sera fait par un comité de 5 membres (PNLS</w:t>
      </w:r>
      <w:r w:rsidR="009C5721" w:rsidRPr="00336E78">
        <w:rPr>
          <w:rFonts w:ascii="Times New Roman" w:hAnsi="Times New Roman" w:cs="Times New Roman"/>
          <w:sz w:val="24"/>
          <w:szCs w:val="24"/>
          <w:lang w:val="fr-FR"/>
        </w:rPr>
        <w:t>/PNLT</w:t>
      </w:r>
      <w:r w:rsidRPr="00336E78">
        <w:rPr>
          <w:rFonts w:ascii="Times New Roman" w:hAnsi="Times New Roman" w:cs="Times New Roman"/>
          <w:sz w:val="24"/>
          <w:szCs w:val="24"/>
          <w:lang w:val="fr-FR"/>
        </w:rPr>
        <w:t>, UGP/PEPFAR et UCMIT) en respectant les critères énumérés dans le profil recherché selon la démarche qui suit.</w:t>
      </w:r>
    </w:p>
    <w:p w:rsidR="009C5721" w:rsidRPr="00336E78" w:rsidRDefault="007C72E7" w:rsidP="0082590C">
      <w:pPr>
        <w:spacing w:after="120"/>
        <w:jc w:val="both"/>
        <w:rPr>
          <w:rFonts w:ascii="Times New Roman" w:eastAsia="Calibri" w:hAnsi="Times New Roman" w:cs="Times New Roman"/>
          <w:sz w:val="24"/>
          <w:szCs w:val="24"/>
          <w:lang w:val="fr-FR"/>
        </w:rPr>
      </w:pPr>
      <w:r w:rsidRPr="00336E78">
        <w:rPr>
          <w:rFonts w:ascii="Times New Roman" w:eastAsia="Calibri" w:hAnsi="Times New Roman" w:cs="Times New Roman"/>
          <w:sz w:val="24"/>
          <w:szCs w:val="24"/>
          <w:lang w:val="fr-FR"/>
        </w:rPr>
        <w:t xml:space="preserve">Une évaluation préliminaire des offres aura lieu avant qu’une </w:t>
      </w:r>
      <w:r w:rsidRPr="00336E78">
        <w:rPr>
          <w:rFonts w:ascii="Times New Roman" w:hAnsi="Times New Roman" w:cs="Times New Roman"/>
          <w:sz w:val="24"/>
          <w:szCs w:val="24"/>
          <w:lang w:val="fr-FR"/>
        </w:rPr>
        <w:t>comparaison</w:t>
      </w:r>
      <w:r w:rsidRPr="00336E78">
        <w:rPr>
          <w:rFonts w:ascii="Times New Roman" w:eastAsia="Calibri" w:hAnsi="Times New Roman" w:cs="Times New Roman"/>
          <w:sz w:val="24"/>
          <w:szCs w:val="24"/>
          <w:lang w:val="fr-FR"/>
        </w:rPr>
        <w:t xml:space="preserve"> technique et financière ne soit considérée. Seules les propositions techniques et financières des  professionnels, dont l’examen préliminaire satisfait aux exigences du dossier joint au tableau ci-dessous, seront considérées (méthode conforme/non conforme).</w:t>
      </w:r>
    </w:p>
    <w:p w:rsidR="009C5721" w:rsidRPr="00336E78" w:rsidRDefault="0082590C" w:rsidP="00953700">
      <w:pPr>
        <w:autoSpaceDE w:val="0"/>
        <w:autoSpaceDN w:val="0"/>
        <w:adjustRightInd w:val="0"/>
        <w:spacing w:after="120"/>
        <w:jc w:val="both"/>
        <w:rPr>
          <w:rFonts w:ascii="Times New Roman" w:eastAsia="Calibri" w:hAnsi="Times New Roman" w:cs="Times New Roman"/>
          <w:b/>
          <w:sz w:val="24"/>
          <w:szCs w:val="24"/>
          <w:u w:val="single"/>
        </w:rPr>
      </w:pPr>
      <w:r w:rsidRPr="00336E78">
        <w:rPr>
          <w:rFonts w:ascii="Times New Roman" w:eastAsia="Calibri" w:hAnsi="Times New Roman" w:cs="Times New Roman"/>
          <w:b/>
          <w:sz w:val="24"/>
          <w:szCs w:val="24"/>
          <w:u w:val="single"/>
        </w:rPr>
        <w:t xml:space="preserve">Tableau </w:t>
      </w:r>
      <w:proofErr w:type="spellStart"/>
      <w:r w:rsidRPr="00336E78">
        <w:rPr>
          <w:rFonts w:ascii="Times New Roman" w:eastAsia="Calibri" w:hAnsi="Times New Roman" w:cs="Times New Roman"/>
          <w:b/>
          <w:sz w:val="24"/>
          <w:szCs w:val="24"/>
          <w:u w:val="single"/>
        </w:rPr>
        <w:t>d’évaluation</w:t>
      </w:r>
      <w:proofErr w:type="spellEnd"/>
      <w:r w:rsidR="00090F1A" w:rsidRPr="00336E78">
        <w:rPr>
          <w:rFonts w:ascii="Times New Roman" w:eastAsia="Calibri" w:hAnsi="Times New Roman" w:cs="Times New Roman"/>
          <w:b/>
          <w:sz w:val="24"/>
          <w:szCs w:val="24"/>
          <w:u w:val="single"/>
        </w:rPr>
        <w:t xml:space="preserve"> </w:t>
      </w:r>
      <w:proofErr w:type="spellStart"/>
      <w:r w:rsidRPr="00336E78">
        <w:rPr>
          <w:rFonts w:ascii="Times New Roman" w:eastAsia="Calibri" w:hAnsi="Times New Roman" w:cs="Times New Roman"/>
          <w:b/>
          <w:sz w:val="24"/>
          <w:szCs w:val="24"/>
          <w:u w:val="single"/>
        </w:rPr>
        <w:t>primaire</w:t>
      </w:r>
      <w:proofErr w:type="spellEnd"/>
    </w:p>
    <w:tbl>
      <w:tblPr>
        <w:tblW w:w="8655" w:type="dxa"/>
        <w:tblInd w:w="93" w:type="dxa"/>
        <w:tblLook w:val="04A0"/>
      </w:tblPr>
      <w:tblGrid>
        <w:gridCol w:w="510"/>
        <w:gridCol w:w="5101"/>
        <w:gridCol w:w="1256"/>
        <w:gridCol w:w="1788"/>
      </w:tblGrid>
      <w:tr w:rsidR="007C72E7" w:rsidRPr="00336E78" w:rsidTr="009539C4">
        <w:trPr>
          <w:trHeight w:val="420"/>
        </w:trPr>
        <w:tc>
          <w:tcPr>
            <w:tcW w:w="504" w:type="dxa"/>
            <w:tcBorders>
              <w:top w:val="nil"/>
              <w:left w:val="nil"/>
              <w:bottom w:val="nil"/>
              <w:right w:val="nil"/>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p>
        </w:tc>
        <w:tc>
          <w:tcPr>
            <w:tcW w:w="5137" w:type="dxa"/>
            <w:tcBorders>
              <w:top w:val="nil"/>
              <w:left w:val="nil"/>
              <w:bottom w:val="nil"/>
              <w:right w:val="nil"/>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p>
        </w:tc>
        <w:tc>
          <w:tcPr>
            <w:tcW w:w="301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7C72E7" w:rsidRPr="00336E78" w:rsidRDefault="007C72E7" w:rsidP="00221B2F">
            <w:pPr>
              <w:spacing w:after="0" w:line="240" w:lineRule="auto"/>
              <w:jc w:val="both"/>
              <w:rPr>
                <w:rFonts w:ascii="Times New Roman" w:hAnsi="Times New Roman" w:cs="Times New Roman"/>
                <w:b/>
                <w:color w:val="000000"/>
                <w:sz w:val="24"/>
                <w:szCs w:val="24"/>
              </w:rPr>
            </w:pPr>
            <w:proofErr w:type="spellStart"/>
            <w:r w:rsidRPr="00336E78">
              <w:rPr>
                <w:rFonts w:ascii="Times New Roman" w:hAnsi="Times New Roman" w:cs="Times New Roman"/>
                <w:b/>
                <w:color w:val="000000"/>
                <w:sz w:val="24"/>
                <w:szCs w:val="24"/>
              </w:rPr>
              <w:t>Méthode</w:t>
            </w:r>
            <w:proofErr w:type="spellEnd"/>
            <w:r w:rsidR="00090F1A" w:rsidRPr="00336E78">
              <w:rPr>
                <w:rFonts w:ascii="Times New Roman" w:hAnsi="Times New Roman" w:cs="Times New Roman"/>
                <w:b/>
                <w:color w:val="000000"/>
                <w:sz w:val="24"/>
                <w:szCs w:val="24"/>
              </w:rPr>
              <w:t xml:space="preserve"> </w:t>
            </w:r>
            <w:proofErr w:type="spellStart"/>
            <w:r w:rsidRPr="00336E78">
              <w:rPr>
                <w:rFonts w:ascii="Times New Roman" w:hAnsi="Times New Roman" w:cs="Times New Roman"/>
                <w:b/>
                <w:color w:val="000000"/>
                <w:sz w:val="24"/>
                <w:szCs w:val="24"/>
              </w:rPr>
              <w:t>d’évaluation</w:t>
            </w:r>
            <w:proofErr w:type="spellEnd"/>
          </w:p>
        </w:tc>
      </w:tr>
      <w:tr w:rsidR="007C72E7" w:rsidRPr="00336E78" w:rsidTr="009539C4">
        <w:trPr>
          <w:trHeight w:val="300"/>
        </w:trPr>
        <w:tc>
          <w:tcPr>
            <w:tcW w:w="504" w:type="dxa"/>
            <w:tcBorders>
              <w:top w:val="single" w:sz="8" w:space="0" w:color="auto"/>
              <w:left w:val="single" w:sz="8" w:space="0" w:color="auto"/>
              <w:bottom w:val="single" w:sz="8"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b/>
                <w:color w:val="000000"/>
                <w:sz w:val="24"/>
                <w:szCs w:val="24"/>
              </w:rPr>
            </w:pPr>
            <w:r w:rsidRPr="00336E78">
              <w:rPr>
                <w:rFonts w:ascii="Times New Roman" w:hAnsi="Times New Roman" w:cs="Times New Roman"/>
                <w:b/>
                <w:color w:val="000000"/>
                <w:sz w:val="24"/>
                <w:szCs w:val="24"/>
              </w:rPr>
              <w:t>No</w:t>
            </w:r>
          </w:p>
        </w:tc>
        <w:tc>
          <w:tcPr>
            <w:tcW w:w="5137" w:type="dxa"/>
            <w:tcBorders>
              <w:top w:val="single" w:sz="8" w:space="0" w:color="auto"/>
              <w:left w:val="nil"/>
              <w:bottom w:val="single" w:sz="8"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b/>
                <w:color w:val="000000"/>
                <w:sz w:val="24"/>
                <w:szCs w:val="24"/>
              </w:rPr>
            </w:pPr>
            <w:proofErr w:type="spellStart"/>
            <w:r w:rsidRPr="00336E78">
              <w:rPr>
                <w:rFonts w:ascii="Times New Roman" w:hAnsi="Times New Roman" w:cs="Times New Roman"/>
                <w:b/>
                <w:color w:val="000000"/>
                <w:sz w:val="24"/>
                <w:szCs w:val="24"/>
              </w:rPr>
              <w:t>Critères</w:t>
            </w:r>
            <w:proofErr w:type="spellEnd"/>
            <w:r w:rsidR="00090F1A" w:rsidRPr="00336E78">
              <w:rPr>
                <w:rFonts w:ascii="Times New Roman" w:hAnsi="Times New Roman" w:cs="Times New Roman"/>
                <w:b/>
                <w:color w:val="000000"/>
                <w:sz w:val="24"/>
                <w:szCs w:val="24"/>
              </w:rPr>
              <w:t xml:space="preserve"> </w:t>
            </w:r>
            <w:proofErr w:type="spellStart"/>
            <w:r w:rsidRPr="00336E78">
              <w:rPr>
                <w:rFonts w:ascii="Times New Roman" w:hAnsi="Times New Roman" w:cs="Times New Roman"/>
                <w:b/>
                <w:color w:val="000000"/>
                <w:sz w:val="24"/>
                <w:szCs w:val="24"/>
              </w:rPr>
              <w:t>préliminaires</w:t>
            </w:r>
            <w:proofErr w:type="spellEnd"/>
          </w:p>
        </w:tc>
        <w:tc>
          <w:tcPr>
            <w:tcW w:w="1220" w:type="dxa"/>
            <w:tcBorders>
              <w:top w:val="nil"/>
              <w:left w:val="nil"/>
              <w:bottom w:val="single" w:sz="8"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b/>
                <w:color w:val="000000"/>
                <w:sz w:val="24"/>
                <w:szCs w:val="24"/>
              </w:rPr>
            </w:pPr>
            <w:proofErr w:type="spellStart"/>
            <w:r w:rsidRPr="00336E78">
              <w:rPr>
                <w:rFonts w:ascii="Times New Roman" w:hAnsi="Times New Roman" w:cs="Times New Roman"/>
                <w:b/>
                <w:color w:val="000000"/>
                <w:sz w:val="24"/>
                <w:szCs w:val="24"/>
              </w:rPr>
              <w:t>Conforme</w:t>
            </w:r>
            <w:proofErr w:type="spellEnd"/>
          </w:p>
        </w:tc>
        <w:tc>
          <w:tcPr>
            <w:tcW w:w="1794" w:type="dxa"/>
            <w:tcBorders>
              <w:top w:val="nil"/>
              <w:left w:val="nil"/>
              <w:bottom w:val="single" w:sz="8" w:space="0" w:color="auto"/>
              <w:right w:val="single" w:sz="8"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b/>
                <w:color w:val="000000"/>
                <w:sz w:val="24"/>
                <w:szCs w:val="24"/>
              </w:rPr>
            </w:pPr>
            <w:r w:rsidRPr="00336E78">
              <w:rPr>
                <w:rFonts w:ascii="Times New Roman" w:hAnsi="Times New Roman" w:cs="Times New Roman"/>
                <w:b/>
                <w:color w:val="000000"/>
                <w:sz w:val="24"/>
                <w:szCs w:val="24"/>
              </w:rPr>
              <w:t xml:space="preserve">Non </w:t>
            </w:r>
            <w:proofErr w:type="spellStart"/>
            <w:r w:rsidRPr="00336E78">
              <w:rPr>
                <w:rFonts w:ascii="Times New Roman" w:hAnsi="Times New Roman" w:cs="Times New Roman"/>
                <w:b/>
                <w:color w:val="000000"/>
                <w:sz w:val="24"/>
                <w:szCs w:val="24"/>
              </w:rPr>
              <w:t>Conforme</w:t>
            </w:r>
            <w:proofErr w:type="spellEnd"/>
          </w:p>
        </w:tc>
      </w:tr>
      <w:tr w:rsidR="007C72E7" w:rsidRPr="00336E78" w:rsidTr="009539C4">
        <w:trPr>
          <w:trHeight w:val="945"/>
        </w:trPr>
        <w:tc>
          <w:tcPr>
            <w:tcW w:w="504" w:type="dxa"/>
            <w:tcBorders>
              <w:top w:val="nil"/>
              <w:left w:val="single" w:sz="8" w:space="0" w:color="auto"/>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1</w:t>
            </w:r>
          </w:p>
        </w:tc>
        <w:tc>
          <w:tcPr>
            <w:tcW w:w="5137" w:type="dxa"/>
            <w:tcBorders>
              <w:top w:val="nil"/>
              <w:left w:val="nil"/>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lang w:val="fr-FR"/>
              </w:rPr>
            </w:pPr>
            <w:r w:rsidRPr="00336E78">
              <w:rPr>
                <w:rFonts w:ascii="Times New Roman" w:hAnsi="Times New Roman" w:cs="Times New Roman"/>
                <w:color w:val="000000"/>
                <w:sz w:val="24"/>
                <w:szCs w:val="24"/>
                <w:lang w:val="fr-FR"/>
              </w:rPr>
              <w:t>Lettre d'intention du professionnel spécifiant le domaine d'expertise et la compréhension du mandat</w:t>
            </w:r>
          </w:p>
        </w:tc>
        <w:tc>
          <w:tcPr>
            <w:tcW w:w="1220" w:type="dxa"/>
            <w:tcBorders>
              <w:top w:val="nil"/>
              <w:left w:val="nil"/>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lang w:val="fr-FR"/>
              </w:rPr>
            </w:pPr>
            <w:r w:rsidRPr="00336E78">
              <w:rPr>
                <w:rFonts w:ascii="Times New Roman" w:hAnsi="Times New Roman" w:cs="Times New Roman"/>
                <w:color w:val="000000"/>
                <w:sz w:val="24"/>
                <w:szCs w:val="24"/>
                <w:lang w:val="fr-FR"/>
              </w:rPr>
              <w:t> </w:t>
            </w:r>
          </w:p>
        </w:tc>
        <w:tc>
          <w:tcPr>
            <w:tcW w:w="1794" w:type="dxa"/>
            <w:tcBorders>
              <w:top w:val="nil"/>
              <w:left w:val="nil"/>
              <w:bottom w:val="single" w:sz="4" w:space="0" w:color="auto"/>
              <w:right w:val="single" w:sz="8"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lang w:val="fr-FR"/>
              </w:rPr>
            </w:pPr>
            <w:r w:rsidRPr="00336E78">
              <w:rPr>
                <w:rFonts w:ascii="Times New Roman" w:hAnsi="Times New Roman" w:cs="Times New Roman"/>
                <w:color w:val="000000"/>
                <w:sz w:val="24"/>
                <w:szCs w:val="24"/>
                <w:lang w:val="fr-FR"/>
              </w:rPr>
              <w:t> </w:t>
            </w:r>
          </w:p>
        </w:tc>
      </w:tr>
      <w:tr w:rsidR="007C72E7" w:rsidRPr="00336E78" w:rsidTr="009539C4">
        <w:trPr>
          <w:trHeight w:val="330"/>
        </w:trPr>
        <w:tc>
          <w:tcPr>
            <w:tcW w:w="504" w:type="dxa"/>
            <w:tcBorders>
              <w:top w:val="nil"/>
              <w:left w:val="single" w:sz="8" w:space="0" w:color="auto"/>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2</w:t>
            </w:r>
          </w:p>
        </w:tc>
        <w:tc>
          <w:tcPr>
            <w:tcW w:w="5137" w:type="dxa"/>
            <w:tcBorders>
              <w:top w:val="nil"/>
              <w:left w:val="nil"/>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lang w:val="fr-FR"/>
              </w:rPr>
            </w:pPr>
            <w:r w:rsidRPr="00336E78">
              <w:rPr>
                <w:rFonts w:ascii="Times New Roman" w:hAnsi="Times New Roman" w:cs="Times New Roman"/>
                <w:color w:val="000000"/>
                <w:sz w:val="24"/>
                <w:szCs w:val="24"/>
                <w:lang w:val="fr-FR"/>
              </w:rPr>
              <w:t xml:space="preserve">CV  du professionnel consultant et copies de diplômes et de certificats </w:t>
            </w:r>
          </w:p>
        </w:tc>
        <w:tc>
          <w:tcPr>
            <w:tcW w:w="1220" w:type="dxa"/>
            <w:tcBorders>
              <w:top w:val="nil"/>
              <w:left w:val="nil"/>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lang w:val="fr-FR"/>
              </w:rPr>
            </w:pPr>
            <w:r w:rsidRPr="00336E78">
              <w:rPr>
                <w:rFonts w:ascii="Times New Roman" w:hAnsi="Times New Roman" w:cs="Times New Roman"/>
                <w:color w:val="000000"/>
                <w:sz w:val="24"/>
                <w:szCs w:val="24"/>
                <w:lang w:val="fr-FR"/>
              </w:rPr>
              <w:t> </w:t>
            </w:r>
          </w:p>
        </w:tc>
        <w:tc>
          <w:tcPr>
            <w:tcW w:w="1794" w:type="dxa"/>
            <w:tcBorders>
              <w:top w:val="nil"/>
              <w:left w:val="nil"/>
              <w:bottom w:val="single" w:sz="4" w:space="0" w:color="auto"/>
              <w:right w:val="single" w:sz="8"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lang w:val="fr-FR"/>
              </w:rPr>
            </w:pPr>
            <w:r w:rsidRPr="00336E78">
              <w:rPr>
                <w:rFonts w:ascii="Times New Roman" w:hAnsi="Times New Roman" w:cs="Times New Roman"/>
                <w:color w:val="000000"/>
                <w:sz w:val="24"/>
                <w:szCs w:val="24"/>
                <w:lang w:val="fr-FR"/>
              </w:rPr>
              <w:t> </w:t>
            </w:r>
          </w:p>
        </w:tc>
      </w:tr>
      <w:tr w:rsidR="007C72E7" w:rsidRPr="00336E78" w:rsidTr="009539C4">
        <w:trPr>
          <w:trHeight w:val="315"/>
        </w:trPr>
        <w:tc>
          <w:tcPr>
            <w:tcW w:w="504" w:type="dxa"/>
            <w:tcBorders>
              <w:top w:val="nil"/>
              <w:left w:val="single" w:sz="8" w:space="0" w:color="auto"/>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3</w:t>
            </w:r>
          </w:p>
        </w:tc>
        <w:tc>
          <w:tcPr>
            <w:tcW w:w="5137" w:type="dxa"/>
            <w:tcBorders>
              <w:top w:val="nil"/>
              <w:left w:val="nil"/>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xml:space="preserve">Proposition technique </w:t>
            </w:r>
          </w:p>
        </w:tc>
        <w:tc>
          <w:tcPr>
            <w:tcW w:w="1220" w:type="dxa"/>
            <w:tcBorders>
              <w:top w:val="nil"/>
              <w:left w:val="nil"/>
              <w:bottom w:val="single" w:sz="4"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w:t>
            </w:r>
          </w:p>
        </w:tc>
        <w:tc>
          <w:tcPr>
            <w:tcW w:w="1794" w:type="dxa"/>
            <w:tcBorders>
              <w:top w:val="nil"/>
              <w:left w:val="nil"/>
              <w:bottom w:val="single" w:sz="4" w:space="0" w:color="auto"/>
              <w:right w:val="single" w:sz="8"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w:t>
            </w:r>
          </w:p>
        </w:tc>
      </w:tr>
      <w:tr w:rsidR="007C72E7" w:rsidRPr="00336E78" w:rsidTr="009539C4">
        <w:trPr>
          <w:trHeight w:val="330"/>
        </w:trPr>
        <w:tc>
          <w:tcPr>
            <w:tcW w:w="504" w:type="dxa"/>
            <w:tcBorders>
              <w:top w:val="nil"/>
              <w:left w:val="single" w:sz="8" w:space="0" w:color="auto"/>
              <w:bottom w:val="single" w:sz="8"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4</w:t>
            </w:r>
          </w:p>
        </w:tc>
        <w:tc>
          <w:tcPr>
            <w:tcW w:w="5137" w:type="dxa"/>
            <w:tcBorders>
              <w:top w:val="nil"/>
              <w:left w:val="nil"/>
              <w:bottom w:val="single" w:sz="8"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xml:space="preserve">Proposition </w:t>
            </w:r>
            <w:proofErr w:type="spellStart"/>
            <w:r w:rsidRPr="00336E78">
              <w:rPr>
                <w:rFonts w:ascii="Times New Roman" w:hAnsi="Times New Roman" w:cs="Times New Roman"/>
                <w:color w:val="000000"/>
                <w:sz w:val="24"/>
                <w:szCs w:val="24"/>
              </w:rPr>
              <w:t>financière</w:t>
            </w:r>
            <w:proofErr w:type="spellEnd"/>
          </w:p>
        </w:tc>
        <w:tc>
          <w:tcPr>
            <w:tcW w:w="1220" w:type="dxa"/>
            <w:tcBorders>
              <w:top w:val="nil"/>
              <w:left w:val="nil"/>
              <w:bottom w:val="single" w:sz="8" w:space="0" w:color="auto"/>
              <w:right w:val="single" w:sz="4"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w:t>
            </w:r>
          </w:p>
        </w:tc>
        <w:tc>
          <w:tcPr>
            <w:tcW w:w="1794" w:type="dxa"/>
            <w:tcBorders>
              <w:top w:val="nil"/>
              <w:left w:val="nil"/>
              <w:bottom w:val="single" w:sz="8" w:space="0" w:color="auto"/>
              <w:right w:val="single" w:sz="8"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w:t>
            </w:r>
          </w:p>
        </w:tc>
      </w:tr>
      <w:tr w:rsidR="007C72E7" w:rsidRPr="00336E78" w:rsidTr="009539C4">
        <w:trPr>
          <w:trHeight w:val="330"/>
        </w:trPr>
        <w:tc>
          <w:tcPr>
            <w:tcW w:w="5641" w:type="dxa"/>
            <w:gridSpan w:val="2"/>
            <w:tcBorders>
              <w:top w:val="single" w:sz="8" w:space="0" w:color="auto"/>
              <w:left w:val="single" w:sz="8" w:space="0" w:color="auto"/>
              <w:bottom w:val="single" w:sz="8" w:space="0" w:color="auto"/>
              <w:right w:val="single" w:sz="8"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xml:space="preserve">Observation </w:t>
            </w:r>
            <w:proofErr w:type="spellStart"/>
            <w:r w:rsidRPr="00336E78">
              <w:rPr>
                <w:rFonts w:ascii="Times New Roman" w:hAnsi="Times New Roman" w:cs="Times New Roman"/>
                <w:color w:val="000000"/>
                <w:sz w:val="24"/>
                <w:szCs w:val="24"/>
              </w:rPr>
              <w:t>globale</w:t>
            </w:r>
            <w:proofErr w:type="spellEnd"/>
          </w:p>
        </w:tc>
        <w:tc>
          <w:tcPr>
            <w:tcW w:w="3014" w:type="dxa"/>
            <w:gridSpan w:val="2"/>
            <w:tcBorders>
              <w:top w:val="single" w:sz="8" w:space="0" w:color="auto"/>
              <w:left w:val="nil"/>
              <w:bottom w:val="single" w:sz="8" w:space="0" w:color="auto"/>
              <w:right w:val="single" w:sz="8" w:space="0" w:color="auto"/>
            </w:tcBorders>
            <w:shd w:val="clear" w:color="auto" w:fill="auto"/>
            <w:hideMark/>
          </w:tcPr>
          <w:p w:rsidR="007C72E7" w:rsidRPr="00336E78" w:rsidRDefault="007C72E7" w:rsidP="00221B2F">
            <w:pPr>
              <w:spacing w:after="0" w:line="240" w:lineRule="auto"/>
              <w:jc w:val="both"/>
              <w:rPr>
                <w:rFonts w:ascii="Times New Roman" w:hAnsi="Times New Roman" w:cs="Times New Roman"/>
                <w:color w:val="000000"/>
                <w:sz w:val="24"/>
                <w:szCs w:val="24"/>
              </w:rPr>
            </w:pPr>
            <w:r w:rsidRPr="00336E78">
              <w:rPr>
                <w:rFonts w:ascii="Times New Roman" w:hAnsi="Times New Roman" w:cs="Times New Roman"/>
                <w:color w:val="000000"/>
                <w:sz w:val="24"/>
                <w:szCs w:val="24"/>
              </w:rPr>
              <w:t> </w:t>
            </w:r>
          </w:p>
        </w:tc>
      </w:tr>
    </w:tbl>
    <w:p w:rsidR="00221B2F" w:rsidRPr="00336E78" w:rsidRDefault="00221B2F" w:rsidP="00953700">
      <w:pPr>
        <w:spacing w:after="120"/>
        <w:jc w:val="both"/>
        <w:rPr>
          <w:rFonts w:ascii="Times New Roman" w:hAnsi="Times New Roman" w:cs="Times New Roman"/>
          <w:sz w:val="24"/>
          <w:szCs w:val="24"/>
          <w:lang w:val="fr-FR"/>
        </w:rPr>
      </w:pPr>
    </w:p>
    <w:p w:rsidR="007C72E7" w:rsidRPr="00336E78" w:rsidRDefault="007C72E7" w:rsidP="00953700">
      <w:pPr>
        <w:spacing w:after="12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L’ensemble des offres technique et financière d’un consultant éligible sera évalué selon la formule suivante :</w:t>
      </w:r>
    </w:p>
    <w:p w:rsidR="007C72E7" w:rsidRPr="00336E78" w:rsidRDefault="007C72E7" w:rsidP="00953700">
      <w:pPr>
        <w:spacing w:after="120"/>
        <w:jc w:val="both"/>
        <w:rPr>
          <w:rFonts w:ascii="Times New Roman" w:hAnsi="Times New Roman" w:cs="Times New Roman"/>
          <w:sz w:val="24"/>
          <w:szCs w:val="24"/>
          <w:u w:val="single"/>
          <w:lang w:val="fr-FR"/>
        </w:rPr>
      </w:pPr>
      <w:r w:rsidRPr="00336E78">
        <w:rPr>
          <w:rFonts w:ascii="Times New Roman" w:hAnsi="Times New Roman" w:cs="Times New Roman"/>
          <w:sz w:val="24"/>
          <w:szCs w:val="24"/>
          <w:lang w:val="fr-FR"/>
        </w:rPr>
        <w:t>Note O</w:t>
      </w:r>
      <w:r w:rsidRPr="00336E78">
        <w:rPr>
          <w:rFonts w:ascii="Times New Roman" w:hAnsi="Times New Roman" w:cs="Times New Roman"/>
          <w:i/>
          <w:sz w:val="24"/>
          <w:szCs w:val="24"/>
          <w:lang w:val="fr-FR"/>
        </w:rPr>
        <w:t>T</w:t>
      </w:r>
      <w:r w:rsidRPr="00336E78">
        <w:rPr>
          <w:rFonts w:ascii="Times New Roman" w:hAnsi="Times New Roman" w:cs="Times New Roman"/>
          <w:sz w:val="24"/>
          <w:szCs w:val="24"/>
          <w:lang w:val="fr-FR"/>
        </w:rPr>
        <w:t xml:space="preserve"> (sur 70 pts)   + [OF moins dispendieuse /</w:t>
      </w:r>
      <w:r w:rsidRPr="00336E78">
        <w:rPr>
          <w:rFonts w:ascii="Times New Roman" w:hAnsi="Times New Roman" w:cs="Times New Roman"/>
          <w:i/>
          <w:sz w:val="24"/>
          <w:szCs w:val="24"/>
          <w:lang w:val="fr-FR"/>
        </w:rPr>
        <w:t xml:space="preserve"> OF</w:t>
      </w:r>
      <w:r w:rsidRPr="00336E78">
        <w:rPr>
          <w:rFonts w:ascii="Times New Roman" w:hAnsi="Times New Roman" w:cs="Times New Roman"/>
          <w:sz w:val="24"/>
          <w:szCs w:val="24"/>
          <w:lang w:val="fr-FR"/>
        </w:rPr>
        <w:t xml:space="preserve"> de la firme à évaluer] x 30 points    =  Note Totale (sur 100 points)</w:t>
      </w:r>
      <w:r w:rsidRPr="00336E78">
        <w:rPr>
          <w:rFonts w:ascii="Times New Roman" w:hAnsi="Times New Roman" w:cs="Times New Roman"/>
          <w:sz w:val="24"/>
          <w:szCs w:val="24"/>
          <w:lang w:val="fr-FR"/>
        </w:rPr>
        <w:tab/>
      </w:r>
    </w:p>
    <w:p w:rsidR="007C72E7" w:rsidRPr="00336E78" w:rsidRDefault="007C72E7" w:rsidP="00953700">
      <w:pPr>
        <w:spacing w:after="120"/>
        <w:jc w:val="both"/>
        <w:rPr>
          <w:rFonts w:ascii="Times New Roman" w:hAnsi="Times New Roman" w:cs="Times New Roman"/>
          <w:sz w:val="24"/>
          <w:szCs w:val="24"/>
          <w:lang w:val="fr-FR"/>
        </w:rPr>
      </w:pPr>
      <w:r w:rsidRPr="00336E78">
        <w:rPr>
          <w:rFonts w:ascii="Times New Roman" w:hAnsi="Times New Roman" w:cs="Times New Roman"/>
          <w:i/>
          <w:sz w:val="24"/>
          <w:szCs w:val="24"/>
          <w:lang w:val="fr-FR"/>
        </w:rPr>
        <w:t>(OT : Offre Technique  –  OF : Offre Financière)</w:t>
      </w:r>
    </w:p>
    <w:p w:rsidR="007C72E7" w:rsidRPr="00336E78" w:rsidRDefault="007C72E7" w:rsidP="00953700">
      <w:pPr>
        <w:spacing w:after="12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La firme/</w:t>
      </w:r>
      <w:r w:rsidRPr="00336E78">
        <w:rPr>
          <w:rFonts w:ascii="Times New Roman" w:hAnsi="Times New Roman" w:cs="Times New Roman"/>
          <w:color w:val="000000"/>
          <w:sz w:val="24"/>
          <w:szCs w:val="24"/>
          <w:lang w:val="fr-FR"/>
        </w:rPr>
        <w:t xml:space="preserve"> professionnel consultant</w:t>
      </w:r>
      <w:r w:rsidRPr="00336E78">
        <w:rPr>
          <w:rFonts w:ascii="Times New Roman" w:hAnsi="Times New Roman" w:cs="Times New Roman"/>
          <w:sz w:val="24"/>
          <w:szCs w:val="24"/>
          <w:lang w:val="fr-FR"/>
        </w:rPr>
        <w:t xml:space="preserve"> ayant présenté la proposition financière la moins dispendieuse aura ainsi la note maximale de 30 points, le rapport initial étant égal à 1.</w:t>
      </w:r>
    </w:p>
    <w:p w:rsidR="007C72E7" w:rsidRPr="00336E78" w:rsidRDefault="007C72E7" w:rsidP="00953700">
      <w:pPr>
        <w:autoSpaceDE w:val="0"/>
        <w:autoSpaceDN w:val="0"/>
        <w:adjustRightInd w:val="0"/>
        <w:spacing w:after="120"/>
        <w:jc w:val="both"/>
        <w:rPr>
          <w:rFonts w:ascii="Times New Roman" w:eastAsia="Calibri" w:hAnsi="Times New Roman" w:cs="Times New Roman"/>
          <w:sz w:val="24"/>
          <w:szCs w:val="24"/>
          <w:lang w:val="fr-FR"/>
        </w:rPr>
      </w:pPr>
      <w:r w:rsidRPr="00336E78">
        <w:rPr>
          <w:rFonts w:ascii="Times New Roman" w:eastAsia="Calibri" w:hAnsi="Times New Roman" w:cs="Times New Roman"/>
          <w:sz w:val="24"/>
          <w:szCs w:val="24"/>
          <w:lang w:val="fr-FR"/>
        </w:rPr>
        <w:t>La composante financière d’une proposition ne sera évaluée que si la composante technique de cette même proposition atteint le nombre minimum de 40 points.</w:t>
      </w:r>
    </w:p>
    <w:p w:rsidR="007C72E7" w:rsidRPr="00336E78" w:rsidRDefault="007C72E7" w:rsidP="00953700">
      <w:pPr>
        <w:autoSpaceDE w:val="0"/>
        <w:autoSpaceDN w:val="0"/>
        <w:adjustRightInd w:val="0"/>
        <w:spacing w:after="120"/>
        <w:jc w:val="both"/>
        <w:rPr>
          <w:rFonts w:ascii="Times New Roman" w:eastAsia="Calibri" w:hAnsi="Times New Roman" w:cs="Times New Roman"/>
          <w:sz w:val="24"/>
          <w:szCs w:val="24"/>
          <w:lang w:val="fr-FR"/>
        </w:rPr>
      </w:pPr>
      <w:r w:rsidRPr="00336E78">
        <w:rPr>
          <w:rFonts w:ascii="Times New Roman" w:eastAsia="Calibri" w:hAnsi="Times New Roman" w:cs="Times New Roman"/>
          <w:sz w:val="24"/>
          <w:szCs w:val="24"/>
          <w:lang w:val="fr-FR"/>
        </w:rPr>
        <w:lastRenderedPageBreak/>
        <w:t xml:space="preserve">Le volet technique, qui a une valeur totale de 70 points, sera évalué à l'aide des critères suivants : </w:t>
      </w:r>
    </w:p>
    <w:tbl>
      <w:tblPr>
        <w:tblW w:w="9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8476"/>
        <w:gridCol w:w="936"/>
      </w:tblGrid>
      <w:tr w:rsidR="007C72E7" w:rsidRPr="00336E78" w:rsidTr="00221B2F">
        <w:trPr>
          <w:trHeight w:val="367"/>
        </w:trPr>
        <w:tc>
          <w:tcPr>
            <w:tcW w:w="8950" w:type="dxa"/>
            <w:gridSpan w:val="2"/>
          </w:tcPr>
          <w:p w:rsidR="007C72E7" w:rsidRPr="00336E78" w:rsidRDefault="007C72E7" w:rsidP="00221B2F">
            <w:pPr>
              <w:pStyle w:val="BodyText2"/>
              <w:spacing w:after="0" w:line="240" w:lineRule="auto"/>
              <w:jc w:val="both"/>
              <w:rPr>
                <w:b/>
                <w:bCs/>
              </w:rPr>
            </w:pPr>
            <w:r w:rsidRPr="00336E78">
              <w:rPr>
                <w:b/>
                <w:bCs/>
              </w:rPr>
              <w:t>Critères</w:t>
            </w:r>
          </w:p>
        </w:tc>
        <w:tc>
          <w:tcPr>
            <w:tcW w:w="936" w:type="dxa"/>
          </w:tcPr>
          <w:p w:rsidR="007C72E7" w:rsidRPr="00336E78" w:rsidRDefault="007C72E7" w:rsidP="00221B2F">
            <w:pPr>
              <w:pStyle w:val="BodyText2"/>
              <w:spacing w:after="0" w:line="240" w:lineRule="auto"/>
              <w:jc w:val="both"/>
              <w:rPr>
                <w:b/>
                <w:bCs/>
              </w:rPr>
            </w:pPr>
            <w:r w:rsidRPr="00336E78">
              <w:rPr>
                <w:b/>
                <w:bCs/>
              </w:rPr>
              <w:t>Points</w:t>
            </w:r>
          </w:p>
        </w:tc>
      </w:tr>
      <w:tr w:rsidR="007C72E7" w:rsidRPr="00336E78" w:rsidTr="00221B2F">
        <w:trPr>
          <w:trHeight w:val="441"/>
        </w:trPr>
        <w:tc>
          <w:tcPr>
            <w:tcW w:w="474" w:type="dxa"/>
            <w:vAlign w:val="center"/>
          </w:tcPr>
          <w:p w:rsidR="007C72E7" w:rsidRPr="00336E78" w:rsidRDefault="007C72E7" w:rsidP="00221B2F">
            <w:pPr>
              <w:pStyle w:val="BodyText2"/>
              <w:spacing w:after="0" w:line="240" w:lineRule="auto"/>
              <w:jc w:val="both"/>
              <w:rPr>
                <w:b/>
              </w:rPr>
            </w:pPr>
            <w:r w:rsidRPr="00336E78">
              <w:rPr>
                <w:b/>
                <w:bCs/>
              </w:rPr>
              <w:t>1</w:t>
            </w:r>
          </w:p>
        </w:tc>
        <w:tc>
          <w:tcPr>
            <w:tcW w:w="8476" w:type="dxa"/>
            <w:vAlign w:val="center"/>
          </w:tcPr>
          <w:p w:rsidR="00953700" w:rsidRPr="00336E78" w:rsidRDefault="00953700" w:rsidP="00221B2F">
            <w:pPr>
              <w:spacing w:after="0" w:line="240" w:lineRule="auto"/>
              <w:jc w:val="both"/>
              <w:rPr>
                <w:rFonts w:ascii="Times New Roman" w:hAnsi="Times New Roman" w:cs="Times New Roman"/>
                <w:sz w:val="24"/>
                <w:szCs w:val="24"/>
                <w:lang w:val="fr-FR" w:eastAsia="fr-FR"/>
              </w:rPr>
            </w:pPr>
            <w:r w:rsidRPr="00336E78">
              <w:rPr>
                <w:rFonts w:ascii="Times New Roman" w:hAnsi="Times New Roman" w:cs="Times New Roman"/>
                <w:sz w:val="24"/>
                <w:szCs w:val="24"/>
                <w:lang w:val="fr-FR"/>
              </w:rPr>
              <w:t>La</w:t>
            </w:r>
            <w:r w:rsidR="007C72E7" w:rsidRPr="00336E78">
              <w:rPr>
                <w:rFonts w:ascii="Times New Roman" w:hAnsi="Times New Roman" w:cs="Times New Roman"/>
                <w:sz w:val="24"/>
                <w:szCs w:val="24"/>
                <w:lang w:val="fr-FR"/>
              </w:rPr>
              <w:t xml:space="preserve"> Firme/consultant</w:t>
            </w:r>
            <w:r w:rsidRPr="00336E78">
              <w:rPr>
                <w:rFonts w:ascii="Times New Roman" w:hAnsi="Times New Roman" w:cs="Times New Roman"/>
                <w:sz w:val="24"/>
                <w:szCs w:val="24"/>
                <w:lang w:val="fr-FR"/>
              </w:rPr>
              <w:t xml:space="preserve"> </w:t>
            </w:r>
            <w:r w:rsidR="00090F1A" w:rsidRPr="00336E78">
              <w:rPr>
                <w:rFonts w:ascii="Times New Roman" w:hAnsi="Times New Roman" w:cs="Times New Roman"/>
                <w:sz w:val="24"/>
                <w:szCs w:val="24"/>
                <w:lang w:val="fr-FR"/>
              </w:rPr>
              <w:t xml:space="preserve">ayant une </w:t>
            </w:r>
            <w:r w:rsidRPr="00336E78">
              <w:rPr>
                <w:rFonts w:ascii="Times New Roman" w:hAnsi="Times New Roman" w:cs="Times New Roman"/>
                <w:sz w:val="24"/>
                <w:szCs w:val="24"/>
                <w:lang w:val="fr-FR" w:eastAsia="fr-FR"/>
              </w:rPr>
              <w:t>Maitrise en santé publique ou dans un domaine connexe </w:t>
            </w:r>
          </w:p>
          <w:p w:rsidR="007C72E7" w:rsidRPr="00336E78" w:rsidRDefault="007C72E7" w:rsidP="00221B2F">
            <w:pPr>
              <w:pStyle w:val="NoSpacing"/>
            </w:pPr>
          </w:p>
        </w:tc>
        <w:tc>
          <w:tcPr>
            <w:tcW w:w="936" w:type="dxa"/>
            <w:vAlign w:val="center"/>
          </w:tcPr>
          <w:p w:rsidR="007C72E7" w:rsidRPr="00336E78" w:rsidRDefault="007C72E7" w:rsidP="00221B2F">
            <w:pPr>
              <w:pStyle w:val="NoSpacing"/>
              <w:rPr>
                <w:bCs/>
              </w:rPr>
            </w:pPr>
            <w:r w:rsidRPr="00336E78">
              <w:t>30</w:t>
            </w:r>
          </w:p>
        </w:tc>
      </w:tr>
      <w:tr w:rsidR="007C72E7" w:rsidRPr="00336E78" w:rsidTr="00221B2F">
        <w:trPr>
          <w:trHeight w:val="545"/>
        </w:trPr>
        <w:tc>
          <w:tcPr>
            <w:tcW w:w="474" w:type="dxa"/>
            <w:vAlign w:val="center"/>
          </w:tcPr>
          <w:p w:rsidR="007C72E7" w:rsidRPr="00336E78" w:rsidRDefault="007C72E7" w:rsidP="00221B2F">
            <w:pPr>
              <w:pStyle w:val="BodyText2"/>
              <w:spacing w:after="0" w:line="240" w:lineRule="auto"/>
              <w:jc w:val="both"/>
              <w:rPr>
                <w:b/>
                <w:bCs/>
              </w:rPr>
            </w:pPr>
            <w:r w:rsidRPr="00336E78">
              <w:rPr>
                <w:b/>
              </w:rPr>
              <w:t>2</w:t>
            </w:r>
          </w:p>
        </w:tc>
        <w:tc>
          <w:tcPr>
            <w:tcW w:w="8476" w:type="dxa"/>
            <w:vAlign w:val="center"/>
          </w:tcPr>
          <w:p w:rsidR="007C72E7" w:rsidRPr="00336E78" w:rsidRDefault="007C72E7" w:rsidP="00221B2F">
            <w:pPr>
              <w:pStyle w:val="NoSpacing"/>
              <w:rPr>
                <w:bCs/>
              </w:rPr>
            </w:pPr>
            <w:r w:rsidRPr="00336E78">
              <w:rPr>
                <w:rFonts w:eastAsia="Calibri"/>
                <w:color w:val="000000"/>
              </w:rPr>
              <w:t xml:space="preserve">Formation en </w:t>
            </w:r>
            <w:r w:rsidR="00DA452B" w:rsidRPr="00336E78">
              <w:rPr>
                <w:rFonts w:eastAsia="Calibri"/>
                <w:color w:val="000000"/>
              </w:rPr>
              <w:t>droit humain</w:t>
            </w:r>
            <w:r w:rsidRPr="00336E78">
              <w:rPr>
                <w:rFonts w:eastAsia="Calibri"/>
                <w:color w:val="000000"/>
              </w:rPr>
              <w:t xml:space="preserve"> ou un Diplôme universitaire (DU) sur la prise en charge globale du VIH</w:t>
            </w:r>
            <w:r w:rsidR="00DA452B" w:rsidRPr="00336E78">
              <w:rPr>
                <w:rFonts w:eastAsia="Calibri"/>
                <w:color w:val="000000"/>
              </w:rPr>
              <w:t>-TB</w:t>
            </w:r>
          </w:p>
        </w:tc>
        <w:tc>
          <w:tcPr>
            <w:tcW w:w="936" w:type="dxa"/>
            <w:vAlign w:val="center"/>
          </w:tcPr>
          <w:p w:rsidR="007C72E7" w:rsidRPr="00336E78" w:rsidRDefault="007C72E7" w:rsidP="00221B2F">
            <w:pPr>
              <w:pStyle w:val="NoSpacing"/>
              <w:rPr>
                <w:bCs/>
              </w:rPr>
            </w:pPr>
            <w:r w:rsidRPr="00336E78">
              <w:t>30</w:t>
            </w:r>
          </w:p>
        </w:tc>
      </w:tr>
      <w:tr w:rsidR="007C72E7" w:rsidRPr="00336E78" w:rsidTr="00221B2F">
        <w:trPr>
          <w:trHeight w:val="461"/>
        </w:trPr>
        <w:tc>
          <w:tcPr>
            <w:tcW w:w="474" w:type="dxa"/>
            <w:vAlign w:val="center"/>
          </w:tcPr>
          <w:p w:rsidR="007C72E7" w:rsidRPr="00336E78" w:rsidRDefault="007C72E7" w:rsidP="00221B2F">
            <w:pPr>
              <w:pStyle w:val="BodyText2"/>
              <w:spacing w:after="0" w:line="240" w:lineRule="auto"/>
              <w:jc w:val="both"/>
              <w:rPr>
                <w:b/>
                <w:bCs/>
              </w:rPr>
            </w:pPr>
            <w:r w:rsidRPr="00336E78">
              <w:rPr>
                <w:b/>
              </w:rPr>
              <w:t>3</w:t>
            </w:r>
          </w:p>
        </w:tc>
        <w:tc>
          <w:tcPr>
            <w:tcW w:w="8476" w:type="dxa"/>
            <w:vAlign w:val="center"/>
          </w:tcPr>
          <w:p w:rsidR="0082590C" w:rsidRPr="00336E78" w:rsidRDefault="0082590C" w:rsidP="00221B2F">
            <w:pPr>
              <w:pBdr>
                <w:top w:val="nil"/>
                <w:left w:val="nil"/>
                <w:bottom w:val="nil"/>
                <w:right w:val="nil"/>
                <w:between w:val="nil"/>
              </w:pBdr>
              <w:spacing w:after="0" w:line="240" w:lineRule="auto"/>
              <w:jc w:val="both"/>
              <w:rPr>
                <w:rFonts w:ascii="Times New Roman" w:hAnsi="Times New Roman" w:cs="Times New Roman"/>
                <w:color w:val="000000"/>
                <w:sz w:val="24"/>
                <w:szCs w:val="24"/>
                <w:lang w:val="fr-FR"/>
              </w:rPr>
            </w:pPr>
            <w:r w:rsidRPr="00336E78">
              <w:rPr>
                <w:rFonts w:ascii="Times New Roman" w:hAnsi="Times New Roman" w:cs="Times New Roman"/>
                <w:sz w:val="24"/>
                <w:szCs w:val="24"/>
                <w:lang w:val="fr-FR" w:eastAsia="fr-FR"/>
              </w:rPr>
              <w:t>Minimum 5 ans d'expérience de travail dans la lutte contre le VIH-TB en Haïti </w:t>
            </w:r>
          </w:p>
          <w:p w:rsidR="007C72E7" w:rsidRPr="00336E78" w:rsidRDefault="007C72E7" w:rsidP="00221B2F">
            <w:pPr>
              <w:pStyle w:val="NoSpacing"/>
              <w:rPr>
                <w:bCs/>
              </w:rPr>
            </w:pPr>
          </w:p>
        </w:tc>
        <w:tc>
          <w:tcPr>
            <w:tcW w:w="936" w:type="dxa"/>
            <w:vAlign w:val="center"/>
          </w:tcPr>
          <w:p w:rsidR="007C72E7" w:rsidRPr="00336E78" w:rsidRDefault="007C72E7" w:rsidP="00221B2F">
            <w:pPr>
              <w:pStyle w:val="NoSpacing"/>
              <w:rPr>
                <w:bCs/>
              </w:rPr>
            </w:pPr>
            <w:r w:rsidRPr="00336E78">
              <w:t>20</w:t>
            </w:r>
          </w:p>
        </w:tc>
      </w:tr>
      <w:tr w:rsidR="007C72E7" w:rsidRPr="00336E78" w:rsidTr="00221B2F">
        <w:trPr>
          <w:trHeight w:val="315"/>
        </w:trPr>
        <w:tc>
          <w:tcPr>
            <w:tcW w:w="474" w:type="dxa"/>
            <w:vAlign w:val="center"/>
          </w:tcPr>
          <w:p w:rsidR="007C72E7" w:rsidRPr="00336E78" w:rsidRDefault="007C72E7" w:rsidP="00221B2F">
            <w:pPr>
              <w:pStyle w:val="BodyText2"/>
              <w:spacing w:after="0" w:line="240" w:lineRule="auto"/>
              <w:jc w:val="both"/>
              <w:rPr>
                <w:b/>
                <w:bCs/>
              </w:rPr>
            </w:pPr>
            <w:r w:rsidRPr="00336E78">
              <w:rPr>
                <w:b/>
                <w:bCs/>
              </w:rPr>
              <w:t>4</w:t>
            </w:r>
          </w:p>
        </w:tc>
        <w:tc>
          <w:tcPr>
            <w:tcW w:w="8476" w:type="dxa"/>
            <w:vAlign w:val="center"/>
          </w:tcPr>
          <w:p w:rsidR="007C72E7" w:rsidRPr="00336E78" w:rsidRDefault="007C72E7" w:rsidP="00221B2F">
            <w:pPr>
              <w:pStyle w:val="NoSpacing"/>
              <w:rPr>
                <w:bCs/>
              </w:rPr>
            </w:pPr>
            <w:r w:rsidRPr="00336E78">
              <w:t>Clarté et logique du chronogramme proposé</w:t>
            </w:r>
          </w:p>
        </w:tc>
        <w:tc>
          <w:tcPr>
            <w:tcW w:w="936" w:type="dxa"/>
            <w:vAlign w:val="center"/>
          </w:tcPr>
          <w:p w:rsidR="007C72E7" w:rsidRPr="00336E78" w:rsidRDefault="007C72E7" w:rsidP="00221B2F">
            <w:pPr>
              <w:pStyle w:val="NoSpacing"/>
              <w:rPr>
                <w:bCs/>
              </w:rPr>
            </w:pPr>
            <w:r w:rsidRPr="00336E78">
              <w:t>20</w:t>
            </w:r>
          </w:p>
        </w:tc>
      </w:tr>
      <w:tr w:rsidR="007C72E7" w:rsidRPr="00336E78" w:rsidTr="00221B2F">
        <w:trPr>
          <w:trHeight w:val="221"/>
        </w:trPr>
        <w:tc>
          <w:tcPr>
            <w:tcW w:w="8950" w:type="dxa"/>
            <w:gridSpan w:val="2"/>
          </w:tcPr>
          <w:p w:rsidR="007C72E7" w:rsidRPr="00336E78" w:rsidRDefault="007C72E7" w:rsidP="00221B2F">
            <w:pPr>
              <w:pStyle w:val="BodyText2"/>
              <w:spacing w:after="0" w:line="240" w:lineRule="auto"/>
              <w:jc w:val="both"/>
              <w:rPr>
                <w:b/>
              </w:rPr>
            </w:pPr>
            <w:r w:rsidRPr="00336E78">
              <w:rPr>
                <w:b/>
              </w:rPr>
              <w:t>Total</w:t>
            </w:r>
          </w:p>
        </w:tc>
        <w:tc>
          <w:tcPr>
            <w:tcW w:w="936" w:type="dxa"/>
            <w:vAlign w:val="center"/>
          </w:tcPr>
          <w:p w:rsidR="007C72E7" w:rsidRPr="00336E78" w:rsidRDefault="007C72E7" w:rsidP="00221B2F">
            <w:pPr>
              <w:pStyle w:val="BodyText2"/>
              <w:spacing w:after="0" w:line="240" w:lineRule="auto"/>
              <w:jc w:val="both"/>
              <w:rPr>
                <w:b/>
                <w:bCs/>
              </w:rPr>
            </w:pPr>
            <w:r w:rsidRPr="00336E78">
              <w:rPr>
                <w:b/>
                <w:bCs/>
              </w:rPr>
              <w:t>100</w:t>
            </w:r>
          </w:p>
        </w:tc>
      </w:tr>
    </w:tbl>
    <w:p w:rsidR="007C72E7" w:rsidRPr="00336E78" w:rsidRDefault="007C72E7" w:rsidP="00953700">
      <w:pPr>
        <w:spacing w:after="120"/>
        <w:jc w:val="both"/>
        <w:rPr>
          <w:rFonts w:ascii="Times New Roman" w:hAnsi="Times New Roman" w:cs="Times New Roman"/>
          <w:sz w:val="24"/>
          <w:szCs w:val="24"/>
        </w:rPr>
      </w:pPr>
    </w:p>
    <w:p w:rsidR="007C72E7" w:rsidRPr="00336E78" w:rsidRDefault="007C72E7" w:rsidP="00953700">
      <w:pPr>
        <w:pStyle w:val="ListParagraph"/>
        <w:numPr>
          <w:ilvl w:val="0"/>
          <w:numId w:val="8"/>
        </w:numPr>
        <w:spacing w:after="120"/>
        <w:jc w:val="both"/>
        <w:rPr>
          <w:rFonts w:ascii="Times New Roman" w:hAnsi="Times New Roman" w:cs="Times New Roman"/>
          <w:b/>
          <w:sz w:val="24"/>
          <w:szCs w:val="24"/>
          <w:u w:val="single"/>
        </w:rPr>
      </w:pPr>
      <w:r w:rsidRPr="00336E78">
        <w:rPr>
          <w:rFonts w:ascii="Times New Roman" w:hAnsi="Times New Roman" w:cs="Times New Roman"/>
          <w:b/>
          <w:sz w:val="24"/>
          <w:szCs w:val="24"/>
          <w:u w:val="single"/>
        </w:rPr>
        <w:t xml:space="preserve">Arrangements techniques et </w:t>
      </w:r>
      <w:proofErr w:type="spellStart"/>
      <w:r w:rsidRPr="00336E78">
        <w:rPr>
          <w:rFonts w:ascii="Times New Roman" w:hAnsi="Times New Roman" w:cs="Times New Roman"/>
          <w:b/>
          <w:sz w:val="24"/>
          <w:szCs w:val="24"/>
          <w:u w:val="single"/>
        </w:rPr>
        <w:t>administratifs</w:t>
      </w:r>
      <w:proofErr w:type="spellEnd"/>
    </w:p>
    <w:p w:rsidR="007C72E7" w:rsidRPr="00336E78" w:rsidRDefault="007C72E7" w:rsidP="00953700">
      <w:pPr>
        <w:spacing w:after="12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 xml:space="preserve">La Firme/consultant sera sous la supervision directe de la </w:t>
      </w:r>
      <w:r w:rsidR="00DA452B" w:rsidRPr="00336E78">
        <w:rPr>
          <w:rFonts w:ascii="Times New Roman" w:hAnsi="Times New Roman" w:cs="Times New Roman"/>
          <w:sz w:val="24"/>
          <w:szCs w:val="24"/>
          <w:lang w:val="fr-FR"/>
        </w:rPr>
        <w:t>Direction Exécutive de l’UCMIT</w:t>
      </w:r>
      <w:r w:rsidRPr="00336E78">
        <w:rPr>
          <w:rFonts w:ascii="Times New Roman" w:hAnsi="Times New Roman" w:cs="Times New Roman"/>
          <w:sz w:val="24"/>
          <w:szCs w:val="24"/>
          <w:lang w:val="fr-FR"/>
        </w:rPr>
        <w:t xml:space="preserve">. Mais, il travaillera </w:t>
      </w:r>
      <w:r w:rsidR="00DA452B" w:rsidRPr="00336E78">
        <w:rPr>
          <w:rFonts w:ascii="Times New Roman" w:hAnsi="Times New Roman" w:cs="Times New Roman"/>
          <w:sz w:val="24"/>
          <w:szCs w:val="24"/>
          <w:lang w:val="fr-FR"/>
        </w:rPr>
        <w:t xml:space="preserve">en étroite collaboration avec des personnes clés au niveau des coordinations nationales des programmes VIH-TB etdes </w:t>
      </w:r>
      <w:r w:rsidRPr="00336E78">
        <w:rPr>
          <w:rFonts w:ascii="Times New Roman" w:hAnsi="Times New Roman" w:cs="Times New Roman"/>
          <w:sz w:val="24"/>
          <w:szCs w:val="24"/>
          <w:lang w:val="fr-FR"/>
        </w:rPr>
        <w:t>responsable</w:t>
      </w:r>
      <w:r w:rsidR="00DA452B" w:rsidRPr="00336E78">
        <w:rPr>
          <w:rFonts w:ascii="Times New Roman" w:hAnsi="Times New Roman" w:cs="Times New Roman"/>
          <w:sz w:val="24"/>
          <w:szCs w:val="24"/>
          <w:lang w:val="fr-FR"/>
        </w:rPr>
        <w:t>sdes institutions sanitaires</w:t>
      </w:r>
      <w:r w:rsidRPr="00336E78">
        <w:rPr>
          <w:rFonts w:ascii="Times New Roman" w:hAnsi="Times New Roman" w:cs="Times New Roman"/>
          <w:sz w:val="24"/>
          <w:szCs w:val="24"/>
          <w:lang w:val="fr-FR"/>
        </w:rPr>
        <w:t xml:space="preserve">.  </w:t>
      </w:r>
    </w:p>
    <w:p w:rsidR="007C72E7" w:rsidRPr="00336E78" w:rsidRDefault="007C72E7" w:rsidP="00953700">
      <w:pPr>
        <w:spacing w:after="12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Les honoraires du consultant seront payés par le projet « Renforcement UCC/</w:t>
      </w:r>
      <w:r w:rsidRPr="00336E78">
        <w:rPr>
          <w:rFonts w:ascii="Times New Roman" w:hAnsi="Times New Roman" w:cs="Times New Roman"/>
          <w:sz w:val="24"/>
          <w:szCs w:val="24"/>
          <w:highlight w:val="yellow"/>
          <w:lang w:val="fr-FR"/>
        </w:rPr>
        <w:t>M&amp;E</w:t>
      </w:r>
      <w:r w:rsidRPr="00336E78">
        <w:rPr>
          <w:rFonts w:ascii="Times New Roman" w:hAnsi="Times New Roman" w:cs="Times New Roman"/>
          <w:sz w:val="24"/>
          <w:szCs w:val="24"/>
          <w:lang w:val="fr-FR"/>
        </w:rPr>
        <w:t> » de la subvention VIH/Sida de PEPFAR. Les arrangements contractuels incluront d’autres éléments non mentionnés dans ces Termes de Référence qui obligeront les parties signataires à respecter le calendrier d’exécution, la production des extrants et le paiement de cette consultation technique.</w:t>
      </w:r>
    </w:p>
    <w:p w:rsidR="007C72E7" w:rsidRPr="00336E78" w:rsidRDefault="007C72E7" w:rsidP="00953700">
      <w:pPr>
        <w:spacing w:after="120"/>
        <w:jc w:val="both"/>
        <w:rPr>
          <w:rFonts w:ascii="Times New Roman" w:hAnsi="Times New Roman" w:cs="Times New Roman"/>
          <w:sz w:val="24"/>
          <w:szCs w:val="24"/>
          <w:lang w:val="fr-FR"/>
        </w:rPr>
      </w:pPr>
    </w:p>
    <w:p w:rsidR="001C4902" w:rsidRPr="00336E78" w:rsidRDefault="001C4902" w:rsidP="001C4902">
      <w:pPr>
        <w:spacing w:after="0"/>
        <w:jc w:val="both"/>
        <w:rPr>
          <w:rFonts w:ascii="Times New Roman" w:hAnsi="Times New Roman" w:cs="Times New Roman"/>
          <w:b/>
          <w:sz w:val="24"/>
          <w:szCs w:val="24"/>
          <w:lang w:val="fr-FR"/>
        </w:rPr>
      </w:pPr>
    </w:p>
    <w:p w:rsidR="007C72E7" w:rsidRPr="00336E78" w:rsidRDefault="007C72E7" w:rsidP="00953700">
      <w:pPr>
        <w:pStyle w:val="ListParagraph"/>
        <w:numPr>
          <w:ilvl w:val="0"/>
          <w:numId w:val="8"/>
        </w:numPr>
        <w:spacing w:after="0"/>
        <w:jc w:val="both"/>
        <w:rPr>
          <w:rFonts w:ascii="Times New Roman" w:hAnsi="Times New Roman" w:cs="Times New Roman"/>
          <w:b/>
          <w:sz w:val="24"/>
          <w:szCs w:val="24"/>
          <w:lang w:val="fr-FR"/>
        </w:rPr>
      </w:pPr>
      <w:r w:rsidRPr="00336E78">
        <w:rPr>
          <w:rFonts w:ascii="Times New Roman" w:eastAsia="Calibri" w:hAnsi="Times New Roman" w:cs="Times New Roman"/>
          <w:b/>
          <w:sz w:val="24"/>
          <w:szCs w:val="24"/>
          <w:u w:val="single"/>
          <w:lang w:val="fr-FR"/>
        </w:rPr>
        <w:t>Profil du consultant</w:t>
      </w:r>
      <w:r w:rsidRPr="00336E78">
        <w:rPr>
          <w:rFonts w:ascii="Times New Roman" w:eastAsia="Calibri" w:hAnsi="Times New Roman" w:cs="Times New Roman"/>
          <w:b/>
          <w:sz w:val="24"/>
          <w:szCs w:val="24"/>
          <w:lang w:val="fr-FR"/>
        </w:rPr>
        <w:t xml:space="preserve"> :</w:t>
      </w:r>
    </w:p>
    <w:p w:rsidR="007C72E7" w:rsidRPr="00336E78" w:rsidRDefault="007C72E7" w:rsidP="00953700">
      <w:pPr>
        <w:spacing w:after="0"/>
        <w:jc w:val="both"/>
        <w:rPr>
          <w:rFonts w:ascii="Times New Roman" w:hAnsi="Times New Roman" w:cs="Times New Roman"/>
          <w:sz w:val="24"/>
          <w:szCs w:val="24"/>
          <w:lang w:val="fr-FR"/>
        </w:rPr>
      </w:pPr>
      <w:r w:rsidRPr="00336E78">
        <w:rPr>
          <w:rFonts w:ascii="Times New Roman" w:eastAsia="Calibri" w:hAnsi="Times New Roman" w:cs="Times New Roman"/>
          <w:sz w:val="24"/>
          <w:szCs w:val="24"/>
          <w:lang w:val="fr-FR"/>
        </w:rPr>
        <w:t xml:space="preserve">La Firme/consultants qui aura à animer la séance de formation </w:t>
      </w:r>
      <w:r w:rsidR="009C5721" w:rsidRPr="00336E78">
        <w:rPr>
          <w:rFonts w:ascii="Times New Roman" w:eastAsia="Calibri" w:hAnsi="Times New Roman" w:cs="Times New Roman"/>
          <w:sz w:val="24"/>
          <w:szCs w:val="24"/>
          <w:lang w:val="fr-FR"/>
        </w:rPr>
        <w:t>doit</w:t>
      </w:r>
      <w:r w:rsidRPr="00336E78">
        <w:rPr>
          <w:rFonts w:ascii="Times New Roman" w:eastAsia="Calibri" w:hAnsi="Times New Roman" w:cs="Times New Roman"/>
          <w:sz w:val="24"/>
          <w:szCs w:val="24"/>
          <w:lang w:val="fr-FR"/>
        </w:rPr>
        <w:t xml:space="preserve"> :</w:t>
      </w:r>
    </w:p>
    <w:p w:rsidR="00953700" w:rsidRPr="00336E78" w:rsidRDefault="00953700" w:rsidP="00953700">
      <w:pPr>
        <w:numPr>
          <w:ilvl w:val="0"/>
          <w:numId w:val="5"/>
        </w:numPr>
        <w:spacing w:after="0" w:line="240" w:lineRule="auto"/>
        <w:jc w:val="both"/>
        <w:rPr>
          <w:rFonts w:ascii="Times New Roman" w:hAnsi="Times New Roman" w:cs="Times New Roman"/>
          <w:sz w:val="24"/>
          <w:szCs w:val="24"/>
          <w:lang w:val="fr-FR" w:eastAsia="fr-FR"/>
        </w:rPr>
      </w:pPr>
      <w:r w:rsidRPr="00336E78">
        <w:rPr>
          <w:rFonts w:ascii="Times New Roman" w:hAnsi="Times New Roman" w:cs="Times New Roman"/>
          <w:sz w:val="24"/>
          <w:szCs w:val="24"/>
          <w:lang w:val="fr-FR" w:eastAsia="fr-FR"/>
        </w:rPr>
        <w:t>Maitrise en santé publique ou dans un domaine connexe ;</w:t>
      </w:r>
    </w:p>
    <w:p w:rsidR="00953700" w:rsidRPr="00336E78" w:rsidRDefault="00953700" w:rsidP="00953700">
      <w:pPr>
        <w:numPr>
          <w:ilvl w:val="0"/>
          <w:numId w:val="5"/>
        </w:numPr>
        <w:spacing w:after="0" w:line="240" w:lineRule="auto"/>
        <w:jc w:val="both"/>
        <w:rPr>
          <w:rFonts w:ascii="Times New Roman" w:hAnsi="Times New Roman" w:cs="Times New Roman"/>
          <w:sz w:val="24"/>
          <w:szCs w:val="24"/>
          <w:lang w:val="fr-FR" w:eastAsia="fr-FR"/>
        </w:rPr>
      </w:pPr>
      <w:r w:rsidRPr="00336E78">
        <w:rPr>
          <w:rFonts w:ascii="Times New Roman" w:hAnsi="Times New Roman" w:cs="Times New Roman"/>
          <w:sz w:val="24"/>
          <w:szCs w:val="24"/>
          <w:lang w:val="fr-FR" w:eastAsia="fr-FR"/>
        </w:rPr>
        <w:t xml:space="preserve">5 ans d'expérience dans le domaine de la santé publique’ </w:t>
      </w:r>
    </w:p>
    <w:p w:rsidR="00953700" w:rsidRPr="00336E78" w:rsidRDefault="00953700"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hAnsi="Times New Roman" w:cs="Times New Roman"/>
          <w:sz w:val="24"/>
          <w:szCs w:val="24"/>
          <w:lang w:val="fr-FR" w:eastAsia="fr-FR"/>
        </w:rPr>
        <w:t>Minimum 5 ans d'expérience de travail dans la lutte contre le VIH-TB en Haïti </w:t>
      </w:r>
    </w:p>
    <w:p w:rsidR="007C72E7" w:rsidRPr="00336E78" w:rsidRDefault="007C72E7"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eastAsia="Calibri" w:hAnsi="Times New Roman" w:cs="Times New Roman"/>
          <w:color w:val="000000"/>
          <w:sz w:val="24"/>
          <w:szCs w:val="24"/>
          <w:lang w:val="fr-FR"/>
        </w:rPr>
        <w:t>Être un personnel forme sur la prise en charge globale du VIH (clinique, thérapeutique, prise en charge psychosociale et ETP) ;</w:t>
      </w:r>
    </w:p>
    <w:p w:rsidR="007C72E7" w:rsidRPr="00336E78" w:rsidRDefault="007C72E7"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eastAsia="Calibri" w:hAnsi="Times New Roman" w:cs="Times New Roman"/>
          <w:color w:val="000000"/>
          <w:sz w:val="24"/>
          <w:szCs w:val="24"/>
          <w:lang w:val="fr-FR"/>
        </w:rPr>
        <w:t xml:space="preserve">Avoir une formation en </w:t>
      </w:r>
      <w:r w:rsidR="009C5721" w:rsidRPr="00336E78">
        <w:rPr>
          <w:rFonts w:ascii="Times New Roman" w:eastAsia="Calibri" w:hAnsi="Times New Roman" w:cs="Times New Roman"/>
          <w:color w:val="000000"/>
          <w:sz w:val="24"/>
          <w:szCs w:val="24"/>
          <w:lang w:val="fr-FR"/>
        </w:rPr>
        <w:t xml:space="preserve">droit humain </w:t>
      </w:r>
      <w:r w:rsidRPr="00336E78">
        <w:rPr>
          <w:rFonts w:ascii="Times New Roman" w:eastAsia="Calibri" w:hAnsi="Times New Roman" w:cs="Times New Roman"/>
          <w:color w:val="000000"/>
          <w:sz w:val="24"/>
          <w:szCs w:val="24"/>
          <w:lang w:val="fr-FR"/>
        </w:rPr>
        <w:t>ou un Diplôme universitaire (DU) sur la prise en charge globale du VIH est un atout ;</w:t>
      </w:r>
    </w:p>
    <w:p w:rsidR="007C72E7" w:rsidRPr="00336E78" w:rsidRDefault="007C72E7"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eastAsia="Calibri" w:hAnsi="Times New Roman" w:cs="Times New Roman"/>
          <w:color w:val="000000"/>
          <w:sz w:val="24"/>
          <w:szCs w:val="24"/>
          <w:lang w:val="fr-FR"/>
        </w:rPr>
        <w:t>Avoir déjà exécuté ce type de formation ou des formations similaires auprès du personnel du programme VIH haïtien ;</w:t>
      </w:r>
    </w:p>
    <w:p w:rsidR="007C72E7" w:rsidRPr="00336E78" w:rsidRDefault="007C72E7"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eastAsia="Calibri" w:hAnsi="Times New Roman" w:cs="Times New Roman"/>
          <w:color w:val="000000"/>
          <w:sz w:val="24"/>
          <w:szCs w:val="24"/>
          <w:lang w:val="fr-FR"/>
        </w:rPr>
        <w:t>Être apte à dispenser la formation dans un langage clair ;</w:t>
      </w:r>
    </w:p>
    <w:p w:rsidR="009C5721" w:rsidRPr="00336E78" w:rsidRDefault="009C5721"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hAnsi="Times New Roman" w:cs="Times New Roman"/>
          <w:color w:val="000000"/>
          <w:sz w:val="24"/>
          <w:szCs w:val="24"/>
          <w:lang w:val="fr-FR"/>
        </w:rPr>
        <w:t>Avoir une bonne connaissance en sant</w:t>
      </w:r>
      <w:r w:rsidR="00090F1A" w:rsidRPr="00336E78">
        <w:rPr>
          <w:rFonts w:ascii="Times New Roman" w:hAnsi="Times New Roman" w:cs="Times New Roman"/>
          <w:color w:val="000000"/>
          <w:sz w:val="24"/>
          <w:szCs w:val="24"/>
          <w:lang w:val="fr-FR"/>
        </w:rPr>
        <w:t>é</w:t>
      </w:r>
      <w:r w:rsidRPr="00336E78">
        <w:rPr>
          <w:rFonts w:ascii="Times New Roman" w:hAnsi="Times New Roman" w:cs="Times New Roman"/>
          <w:color w:val="000000"/>
          <w:sz w:val="24"/>
          <w:szCs w:val="24"/>
          <w:lang w:val="fr-FR"/>
        </w:rPr>
        <w:t xml:space="preserve"> publique</w:t>
      </w:r>
    </w:p>
    <w:p w:rsidR="007C72E7" w:rsidRPr="00336E78" w:rsidRDefault="007C72E7"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eastAsia="Calibri" w:hAnsi="Times New Roman" w:cs="Times New Roman"/>
          <w:color w:val="000000"/>
          <w:sz w:val="24"/>
          <w:szCs w:val="24"/>
          <w:lang w:val="fr-FR"/>
        </w:rPr>
        <w:t>Avoir de bonnes connaissances des normes et directives nationales de prise en charge globale du VIH</w:t>
      </w:r>
      <w:r w:rsidR="009C5721" w:rsidRPr="00336E78">
        <w:rPr>
          <w:rFonts w:ascii="Times New Roman" w:eastAsia="Calibri" w:hAnsi="Times New Roman" w:cs="Times New Roman"/>
          <w:color w:val="000000"/>
          <w:sz w:val="24"/>
          <w:szCs w:val="24"/>
          <w:lang w:val="fr-FR"/>
        </w:rPr>
        <w:t>-TB.</w:t>
      </w:r>
    </w:p>
    <w:p w:rsidR="007C72E7" w:rsidRPr="00336E78" w:rsidRDefault="007C72E7" w:rsidP="00953700">
      <w:pPr>
        <w:numPr>
          <w:ilvl w:val="0"/>
          <w:numId w:val="5"/>
        </w:numPr>
        <w:pBdr>
          <w:top w:val="nil"/>
          <w:left w:val="nil"/>
          <w:bottom w:val="nil"/>
          <w:right w:val="nil"/>
          <w:between w:val="nil"/>
        </w:pBdr>
        <w:spacing w:after="0"/>
        <w:jc w:val="both"/>
        <w:rPr>
          <w:rFonts w:ascii="Times New Roman" w:hAnsi="Times New Roman" w:cs="Times New Roman"/>
          <w:color w:val="000000"/>
          <w:sz w:val="24"/>
          <w:szCs w:val="24"/>
          <w:lang w:val="fr-FR"/>
        </w:rPr>
      </w:pPr>
      <w:r w:rsidRPr="00336E78">
        <w:rPr>
          <w:rFonts w:ascii="Times New Roman" w:eastAsia="Calibri" w:hAnsi="Times New Roman" w:cs="Times New Roman"/>
          <w:color w:val="000000"/>
          <w:sz w:val="24"/>
          <w:szCs w:val="24"/>
          <w:lang w:val="fr-FR"/>
        </w:rPr>
        <w:t>Disponibilité immédiate et capacité de livrer le produit final à temps.</w:t>
      </w:r>
    </w:p>
    <w:p w:rsidR="007C72E7" w:rsidRPr="00336E78" w:rsidRDefault="007C72E7" w:rsidP="00953700">
      <w:pPr>
        <w:spacing w:after="120"/>
        <w:ind w:left="720"/>
        <w:jc w:val="both"/>
        <w:rPr>
          <w:rFonts w:ascii="Times New Roman" w:hAnsi="Times New Roman" w:cs="Times New Roman"/>
          <w:sz w:val="24"/>
          <w:szCs w:val="24"/>
          <w:lang w:val="fr-FR"/>
        </w:rPr>
      </w:pPr>
    </w:p>
    <w:p w:rsidR="007C72E7" w:rsidRPr="00336E78" w:rsidRDefault="007C72E7" w:rsidP="00953700">
      <w:pPr>
        <w:numPr>
          <w:ilvl w:val="0"/>
          <w:numId w:val="8"/>
        </w:numPr>
        <w:spacing w:after="120" w:line="240" w:lineRule="auto"/>
        <w:jc w:val="both"/>
        <w:rPr>
          <w:rFonts w:ascii="Times New Roman" w:hAnsi="Times New Roman" w:cs="Times New Roman"/>
          <w:b/>
          <w:sz w:val="24"/>
          <w:szCs w:val="24"/>
          <w:u w:val="single"/>
        </w:rPr>
      </w:pPr>
      <w:r w:rsidRPr="00336E78">
        <w:rPr>
          <w:rFonts w:ascii="Times New Roman" w:hAnsi="Times New Roman" w:cs="Times New Roman"/>
          <w:b/>
          <w:sz w:val="24"/>
          <w:szCs w:val="24"/>
          <w:u w:val="single"/>
        </w:rPr>
        <w:lastRenderedPageBreak/>
        <w:t xml:space="preserve">Composition du dossier de </w:t>
      </w:r>
      <w:proofErr w:type="spellStart"/>
      <w:r w:rsidRPr="00336E78">
        <w:rPr>
          <w:rFonts w:ascii="Times New Roman" w:hAnsi="Times New Roman" w:cs="Times New Roman"/>
          <w:b/>
          <w:sz w:val="24"/>
          <w:szCs w:val="24"/>
          <w:u w:val="single"/>
        </w:rPr>
        <w:t>soumission</w:t>
      </w:r>
      <w:proofErr w:type="spellEnd"/>
    </w:p>
    <w:p w:rsidR="007C72E7" w:rsidRPr="00336E78" w:rsidRDefault="007C72E7" w:rsidP="00953700">
      <w:pPr>
        <w:autoSpaceDE w:val="0"/>
        <w:autoSpaceDN w:val="0"/>
        <w:adjustRightInd w:val="0"/>
        <w:spacing w:after="12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Le dossier de soumission doit comprendre :</w:t>
      </w:r>
    </w:p>
    <w:p w:rsidR="007C72E7" w:rsidRPr="00336E78" w:rsidRDefault="007C72E7" w:rsidP="00953700">
      <w:pPr>
        <w:numPr>
          <w:ilvl w:val="0"/>
          <w:numId w:val="4"/>
        </w:numPr>
        <w:autoSpaceDE w:val="0"/>
        <w:autoSpaceDN w:val="0"/>
        <w:adjustRightInd w:val="0"/>
        <w:spacing w:after="120" w:line="240" w:lineRule="auto"/>
        <w:jc w:val="both"/>
        <w:rPr>
          <w:rFonts w:ascii="Times New Roman" w:hAnsi="Times New Roman" w:cs="Times New Roman"/>
          <w:sz w:val="24"/>
          <w:szCs w:val="24"/>
        </w:rPr>
      </w:pPr>
      <w:proofErr w:type="spellStart"/>
      <w:r w:rsidRPr="00336E78">
        <w:rPr>
          <w:rFonts w:ascii="Times New Roman" w:hAnsi="Times New Roman" w:cs="Times New Roman"/>
          <w:sz w:val="24"/>
          <w:szCs w:val="24"/>
        </w:rPr>
        <w:t>Une</w:t>
      </w:r>
      <w:proofErr w:type="spellEnd"/>
      <w:r w:rsidR="00090F1A" w:rsidRPr="00336E78">
        <w:rPr>
          <w:rFonts w:ascii="Times New Roman" w:hAnsi="Times New Roman" w:cs="Times New Roman"/>
          <w:sz w:val="24"/>
          <w:szCs w:val="24"/>
        </w:rPr>
        <w:t xml:space="preserve"> </w:t>
      </w:r>
      <w:proofErr w:type="spellStart"/>
      <w:r w:rsidR="00090F1A" w:rsidRPr="00336E78">
        <w:rPr>
          <w:rFonts w:ascii="Times New Roman" w:hAnsi="Times New Roman" w:cs="Times New Roman"/>
          <w:sz w:val="24"/>
          <w:szCs w:val="24"/>
        </w:rPr>
        <w:t>lettre</w:t>
      </w:r>
      <w:proofErr w:type="spellEnd"/>
      <w:r w:rsidR="00090F1A" w:rsidRPr="00336E78">
        <w:rPr>
          <w:rFonts w:ascii="Times New Roman" w:hAnsi="Times New Roman" w:cs="Times New Roman"/>
          <w:sz w:val="24"/>
          <w:szCs w:val="24"/>
        </w:rPr>
        <w:t xml:space="preserve"> </w:t>
      </w:r>
      <w:proofErr w:type="spellStart"/>
      <w:r w:rsidRPr="00336E78">
        <w:rPr>
          <w:rFonts w:ascii="Times New Roman" w:hAnsi="Times New Roman" w:cs="Times New Roman"/>
          <w:sz w:val="24"/>
          <w:szCs w:val="24"/>
        </w:rPr>
        <w:t>d’intention</w:t>
      </w:r>
      <w:proofErr w:type="spellEnd"/>
      <w:r w:rsidRPr="00336E78">
        <w:rPr>
          <w:rFonts w:ascii="Times New Roman" w:hAnsi="Times New Roman" w:cs="Times New Roman"/>
          <w:sz w:val="24"/>
          <w:szCs w:val="24"/>
        </w:rPr>
        <w:t> ;</w:t>
      </w:r>
    </w:p>
    <w:p w:rsidR="007C72E7" w:rsidRPr="00336E78" w:rsidRDefault="007C72E7" w:rsidP="00953700">
      <w:pPr>
        <w:numPr>
          <w:ilvl w:val="0"/>
          <w:numId w:val="4"/>
        </w:numPr>
        <w:autoSpaceDE w:val="0"/>
        <w:autoSpaceDN w:val="0"/>
        <w:adjustRightInd w:val="0"/>
        <w:spacing w:after="120" w:line="240" w:lineRule="auto"/>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Le curriculum vitae du postulant ;</w:t>
      </w:r>
    </w:p>
    <w:p w:rsidR="007C72E7" w:rsidRPr="00336E78" w:rsidRDefault="007C72E7" w:rsidP="00953700">
      <w:pPr>
        <w:numPr>
          <w:ilvl w:val="0"/>
          <w:numId w:val="4"/>
        </w:numPr>
        <w:autoSpaceDE w:val="0"/>
        <w:autoSpaceDN w:val="0"/>
        <w:adjustRightInd w:val="0"/>
        <w:spacing w:after="120" w:line="240" w:lineRule="auto"/>
        <w:jc w:val="both"/>
        <w:rPr>
          <w:rFonts w:ascii="Times New Roman" w:hAnsi="Times New Roman" w:cs="Times New Roman"/>
          <w:sz w:val="24"/>
          <w:szCs w:val="24"/>
        </w:rPr>
      </w:pPr>
      <w:r w:rsidRPr="00336E78">
        <w:rPr>
          <w:rFonts w:ascii="Times New Roman" w:hAnsi="Times New Roman" w:cs="Times New Roman"/>
          <w:sz w:val="24"/>
          <w:szCs w:val="24"/>
        </w:rPr>
        <w:t>Une proposition technique ;</w:t>
      </w:r>
    </w:p>
    <w:p w:rsidR="007C72E7" w:rsidRPr="00336E78" w:rsidRDefault="007C72E7" w:rsidP="00953700">
      <w:pPr>
        <w:numPr>
          <w:ilvl w:val="0"/>
          <w:numId w:val="4"/>
        </w:numPr>
        <w:autoSpaceDE w:val="0"/>
        <w:autoSpaceDN w:val="0"/>
        <w:adjustRightInd w:val="0"/>
        <w:spacing w:after="120" w:line="240" w:lineRule="auto"/>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Une proposition financière pour l’élaboration du rapport.</w:t>
      </w:r>
    </w:p>
    <w:p w:rsidR="007C72E7" w:rsidRPr="00336E78" w:rsidRDefault="007C72E7" w:rsidP="00953700">
      <w:pPr>
        <w:autoSpaceDE w:val="0"/>
        <w:autoSpaceDN w:val="0"/>
        <w:adjustRightInd w:val="0"/>
        <w:spacing w:after="0"/>
        <w:jc w:val="both"/>
        <w:rPr>
          <w:rFonts w:ascii="Times New Roman" w:hAnsi="Times New Roman" w:cs="Times New Roman"/>
          <w:sz w:val="24"/>
          <w:szCs w:val="24"/>
          <w:lang w:val="fr-FR"/>
        </w:rPr>
      </w:pPr>
      <w:r w:rsidRPr="00336E78">
        <w:rPr>
          <w:rFonts w:ascii="Times New Roman" w:hAnsi="Times New Roman" w:cs="Times New Roman"/>
          <w:sz w:val="24"/>
          <w:szCs w:val="24"/>
          <w:lang w:val="fr-FR"/>
        </w:rPr>
        <w:t xml:space="preserve">Pour une firme, une copie de patente à jour est obligatoire. </w:t>
      </w:r>
    </w:p>
    <w:p w:rsidR="007C72E7" w:rsidRPr="00336E78" w:rsidRDefault="007C72E7" w:rsidP="00953700">
      <w:pPr>
        <w:spacing w:after="120"/>
        <w:jc w:val="both"/>
        <w:rPr>
          <w:rFonts w:ascii="Times New Roman" w:hAnsi="Times New Roman" w:cs="Times New Roman"/>
          <w:b/>
          <w:sz w:val="24"/>
          <w:szCs w:val="24"/>
          <w:lang w:val="fr-FR"/>
        </w:rPr>
      </w:pPr>
    </w:p>
    <w:p w:rsidR="007C72E7" w:rsidRPr="00336E78" w:rsidRDefault="007C72E7" w:rsidP="00953700">
      <w:pPr>
        <w:numPr>
          <w:ilvl w:val="0"/>
          <w:numId w:val="8"/>
        </w:numPr>
        <w:spacing w:after="120" w:line="240" w:lineRule="auto"/>
        <w:jc w:val="both"/>
        <w:rPr>
          <w:rFonts w:ascii="Times New Roman" w:hAnsi="Times New Roman" w:cs="Times New Roman"/>
          <w:sz w:val="24"/>
          <w:szCs w:val="24"/>
          <w:u w:val="single"/>
        </w:rPr>
      </w:pPr>
      <w:proofErr w:type="spellStart"/>
      <w:r w:rsidRPr="00336E78">
        <w:rPr>
          <w:rFonts w:ascii="Times New Roman" w:hAnsi="Times New Roman" w:cs="Times New Roman"/>
          <w:b/>
          <w:sz w:val="24"/>
          <w:szCs w:val="24"/>
          <w:u w:val="single"/>
        </w:rPr>
        <w:t>Dépôt</w:t>
      </w:r>
      <w:proofErr w:type="spellEnd"/>
      <w:r w:rsidRPr="00336E78">
        <w:rPr>
          <w:rFonts w:ascii="Times New Roman" w:hAnsi="Times New Roman" w:cs="Times New Roman"/>
          <w:b/>
          <w:sz w:val="24"/>
          <w:szCs w:val="24"/>
          <w:u w:val="single"/>
        </w:rPr>
        <w:t xml:space="preserve"> des dossiers </w:t>
      </w:r>
    </w:p>
    <w:p w:rsidR="007C72E7" w:rsidRPr="00336E78" w:rsidRDefault="007C72E7" w:rsidP="00221B2F">
      <w:pPr>
        <w:pStyle w:val="ListParagraph"/>
        <w:ind w:left="360"/>
        <w:jc w:val="both"/>
        <w:rPr>
          <w:rFonts w:ascii="Times New Roman" w:eastAsia="Times New Roman" w:hAnsi="Times New Roman" w:cs="Times New Roman"/>
          <w:sz w:val="24"/>
          <w:szCs w:val="24"/>
          <w:lang w:val="fr-FR"/>
        </w:rPr>
      </w:pPr>
      <w:r w:rsidRPr="00336E78">
        <w:rPr>
          <w:rFonts w:ascii="Times New Roman" w:hAnsi="Times New Roman" w:cs="Times New Roman"/>
          <w:bCs/>
          <w:sz w:val="24"/>
          <w:szCs w:val="24"/>
          <w:lang w:val="fr-FR"/>
        </w:rPr>
        <w:t>Les dossiers de soumission (</w:t>
      </w:r>
      <w:r w:rsidR="006550B1" w:rsidRPr="00336E78">
        <w:rPr>
          <w:rFonts w:ascii="Times New Roman" w:hAnsi="Times New Roman" w:cs="Times New Roman"/>
          <w:bCs/>
          <w:sz w:val="24"/>
          <w:szCs w:val="24"/>
          <w:lang w:val="fr-FR"/>
        </w:rPr>
        <w:t>3</w:t>
      </w:r>
      <w:r w:rsidRPr="00336E78">
        <w:rPr>
          <w:rFonts w:ascii="Times New Roman" w:hAnsi="Times New Roman" w:cs="Times New Roman"/>
          <w:bCs/>
          <w:sz w:val="24"/>
          <w:szCs w:val="24"/>
          <w:lang w:val="fr-FR"/>
        </w:rPr>
        <w:t xml:space="preserve"> copies) doivent être déposés sous plis cachet</w:t>
      </w:r>
      <w:r w:rsidRPr="00336E78">
        <w:rPr>
          <w:rFonts w:ascii="Times New Roman" w:hAnsi="Times New Roman" w:cs="Times New Roman"/>
          <w:bCs/>
          <w:sz w:val="24"/>
          <w:szCs w:val="24"/>
          <w:lang w:val="fr-FR" w:eastAsia="ja-JP"/>
        </w:rPr>
        <w:t>és</w:t>
      </w:r>
      <w:r w:rsidRPr="00336E78">
        <w:rPr>
          <w:rFonts w:ascii="Times New Roman" w:hAnsi="Times New Roman" w:cs="Times New Roman"/>
          <w:bCs/>
          <w:sz w:val="24"/>
          <w:szCs w:val="24"/>
          <w:lang w:val="fr-FR"/>
        </w:rPr>
        <w:t xml:space="preserve"> à l’adresse suivante # 2, Rue </w:t>
      </w:r>
      <w:proofErr w:type="spellStart"/>
      <w:r w:rsidRPr="00336E78">
        <w:rPr>
          <w:rFonts w:ascii="Times New Roman" w:hAnsi="Times New Roman" w:cs="Times New Roman"/>
          <w:bCs/>
          <w:sz w:val="24"/>
          <w:szCs w:val="24"/>
          <w:lang w:val="fr-FR"/>
        </w:rPr>
        <w:t>Boisrond</w:t>
      </w:r>
      <w:proofErr w:type="spellEnd"/>
      <w:r w:rsidRPr="00336E78">
        <w:rPr>
          <w:rFonts w:ascii="Times New Roman" w:hAnsi="Times New Roman" w:cs="Times New Roman"/>
          <w:bCs/>
          <w:sz w:val="24"/>
          <w:szCs w:val="24"/>
          <w:lang w:val="fr-FR"/>
        </w:rPr>
        <w:t xml:space="preserve"> Canal, Puits Blain 24, Pétion-ville, au plus tard</w:t>
      </w:r>
      <w:r w:rsidRPr="00336E78">
        <w:rPr>
          <w:rFonts w:ascii="Times New Roman" w:hAnsi="Times New Roman" w:cs="Times New Roman"/>
          <w:b/>
          <w:bCs/>
          <w:sz w:val="24"/>
          <w:szCs w:val="24"/>
          <w:lang w:val="fr-FR"/>
        </w:rPr>
        <w:t xml:space="preserve">, le </w:t>
      </w:r>
      <w:r w:rsidR="006550B1" w:rsidRPr="00336E78">
        <w:rPr>
          <w:rFonts w:ascii="Times New Roman" w:hAnsi="Times New Roman" w:cs="Times New Roman"/>
          <w:b/>
          <w:bCs/>
          <w:sz w:val="24"/>
          <w:szCs w:val="24"/>
          <w:lang w:val="fr-FR"/>
        </w:rPr>
        <w:t>07 Aout 2020</w:t>
      </w:r>
      <w:r w:rsidRPr="00336E78">
        <w:rPr>
          <w:rFonts w:ascii="Times New Roman" w:hAnsi="Times New Roman" w:cs="Times New Roman"/>
          <w:b/>
          <w:bCs/>
          <w:sz w:val="24"/>
          <w:szCs w:val="24"/>
          <w:lang w:val="fr-FR"/>
        </w:rPr>
        <w:t xml:space="preserve"> à 4h</w:t>
      </w:r>
      <w:r w:rsidR="00DA452B" w:rsidRPr="00336E78">
        <w:rPr>
          <w:rFonts w:ascii="Times New Roman" w:hAnsi="Times New Roman" w:cs="Times New Roman"/>
          <w:b/>
          <w:bCs/>
          <w:sz w:val="24"/>
          <w:szCs w:val="24"/>
          <w:lang w:val="fr-FR"/>
        </w:rPr>
        <w:t>:</w:t>
      </w:r>
      <w:r w:rsidRPr="00336E78">
        <w:rPr>
          <w:rFonts w:ascii="Times New Roman" w:hAnsi="Times New Roman" w:cs="Times New Roman"/>
          <w:b/>
          <w:bCs/>
          <w:sz w:val="24"/>
          <w:szCs w:val="24"/>
          <w:lang w:val="fr-FR"/>
        </w:rPr>
        <w:t>00pm</w:t>
      </w:r>
      <w:r w:rsidR="006550B1" w:rsidRPr="00336E78">
        <w:rPr>
          <w:rFonts w:ascii="Times New Roman" w:hAnsi="Times New Roman" w:cs="Times New Roman"/>
          <w:b/>
          <w:bCs/>
          <w:sz w:val="24"/>
          <w:szCs w:val="24"/>
          <w:lang w:val="fr-FR"/>
        </w:rPr>
        <w:t xml:space="preserve"> ou </w:t>
      </w:r>
      <w:r w:rsidR="00EB5B5F" w:rsidRPr="00336E78">
        <w:rPr>
          <w:rFonts w:ascii="Times New Roman" w:hAnsi="Times New Roman" w:cs="Times New Roman"/>
          <w:b/>
          <w:bCs/>
          <w:sz w:val="24"/>
          <w:szCs w:val="24"/>
          <w:lang w:val="fr-FR"/>
        </w:rPr>
        <w:t>envoyés par email (mspprecrutmentucmit@gmail.com)</w:t>
      </w:r>
      <w:r w:rsidRPr="00336E78">
        <w:rPr>
          <w:rFonts w:ascii="Times New Roman" w:hAnsi="Times New Roman" w:cs="Times New Roman"/>
          <w:bCs/>
          <w:sz w:val="24"/>
          <w:szCs w:val="24"/>
          <w:lang w:val="fr-FR"/>
        </w:rPr>
        <w:t>. Les enveloppes doivent porter le nom du soumissionnaire, son numéro de téléphone et son adresse électronique avec la mention «</w:t>
      </w:r>
      <w:r w:rsidRPr="00336E78">
        <w:rPr>
          <w:rFonts w:ascii="Times New Roman" w:eastAsia="Times New Roman" w:hAnsi="Times New Roman" w:cs="Times New Roman"/>
          <w:b/>
          <w:sz w:val="24"/>
          <w:szCs w:val="24"/>
          <w:lang w:val="fr-FR"/>
        </w:rPr>
        <w:t>Développer des indicateurs et des outils de suivi pour évaluer la stigmatisation contre les patients atteints de stigmatisation élevée (en particulier le VIH et la tuberculose) et de populations spécifiques dans les établissements de soins de santé</w:t>
      </w:r>
      <w:r w:rsidRPr="00336E78">
        <w:rPr>
          <w:rFonts w:ascii="Times New Roman" w:eastAsia="Times New Roman" w:hAnsi="Times New Roman" w:cs="Times New Roman"/>
          <w:sz w:val="24"/>
          <w:szCs w:val="24"/>
          <w:lang w:val="fr-FR"/>
        </w:rPr>
        <w:t> » et/ou «</w:t>
      </w:r>
      <w:r w:rsidRPr="00336E78">
        <w:rPr>
          <w:rFonts w:ascii="Times New Roman" w:hAnsi="Times New Roman" w:cs="Times New Roman"/>
          <w:b/>
          <w:sz w:val="24"/>
          <w:szCs w:val="24"/>
          <w:lang w:val="fr-FR"/>
        </w:rPr>
        <w:t>Examiner, développer et promouvoir les lois, les politiques et l'environnement juridique en général pour protéger les patients contre la stigmatisation ».</w:t>
      </w:r>
    </w:p>
    <w:p w:rsidR="007A41DF" w:rsidRPr="00336E78" w:rsidRDefault="007C72E7" w:rsidP="00221B2F">
      <w:pPr>
        <w:pStyle w:val="ListParagraph"/>
        <w:rPr>
          <w:rFonts w:ascii="Times New Roman" w:eastAsia="Times New Roman" w:hAnsi="Times New Roman" w:cs="Times New Roman"/>
          <w:sz w:val="24"/>
          <w:szCs w:val="24"/>
          <w:lang w:val="fr-FR"/>
        </w:rPr>
      </w:pPr>
      <w:r w:rsidRPr="00336E78">
        <w:rPr>
          <w:rFonts w:ascii="Times New Roman" w:eastAsia="Times New Roman" w:hAnsi="Times New Roman" w:cs="Times New Roman"/>
          <w:sz w:val="24"/>
          <w:szCs w:val="24"/>
          <w:lang w:val="fr-FR"/>
        </w:rPr>
        <w:t> </w:t>
      </w:r>
    </w:p>
    <w:p w:rsidR="00336E78" w:rsidRPr="00336E78" w:rsidRDefault="00336E78">
      <w:pPr>
        <w:pStyle w:val="ListParagraph"/>
        <w:rPr>
          <w:rFonts w:ascii="Times New Roman" w:eastAsia="Times New Roman" w:hAnsi="Times New Roman" w:cs="Times New Roman"/>
          <w:sz w:val="24"/>
          <w:szCs w:val="24"/>
          <w:lang w:val="fr-FR"/>
        </w:rPr>
      </w:pPr>
    </w:p>
    <w:sectPr w:rsidR="00336E78" w:rsidRPr="00336E78" w:rsidSect="002067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A67"/>
    <w:multiLevelType w:val="hybridMultilevel"/>
    <w:tmpl w:val="61D46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73128"/>
    <w:multiLevelType w:val="hybridMultilevel"/>
    <w:tmpl w:val="66880E94"/>
    <w:lvl w:ilvl="0" w:tplc="B5BEC4E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D13DA"/>
    <w:multiLevelType w:val="hybridMultilevel"/>
    <w:tmpl w:val="2FDED9D4"/>
    <w:lvl w:ilvl="0" w:tplc="57026C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F7020"/>
    <w:multiLevelType w:val="hybridMultilevel"/>
    <w:tmpl w:val="C2B41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D29E7"/>
    <w:multiLevelType w:val="hybridMultilevel"/>
    <w:tmpl w:val="5B1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C281D"/>
    <w:multiLevelType w:val="hybridMultilevel"/>
    <w:tmpl w:val="56F67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009DD"/>
    <w:multiLevelType w:val="hybridMultilevel"/>
    <w:tmpl w:val="FCFA8E3A"/>
    <w:lvl w:ilvl="0" w:tplc="E4C4BC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470C77"/>
    <w:multiLevelType w:val="hybridMultilevel"/>
    <w:tmpl w:val="183C01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C2356"/>
    <w:multiLevelType w:val="hybridMultilevel"/>
    <w:tmpl w:val="556EBAD0"/>
    <w:lvl w:ilvl="0" w:tplc="6AA840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8C0606"/>
    <w:multiLevelType w:val="multilevel"/>
    <w:tmpl w:val="67F80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9AD0BA2"/>
    <w:multiLevelType w:val="hybridMultilevel"/>
    <w:tmpl w:val="BA52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7"/>
  </w:num>
  <w:num w:numId="7">
    <w:abstractNumId w:val="10"/>
  </w:num>
  <w:num w:numId="8">
    <w:abstractNumId w:val="2"/>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3F0439"/>
    <w:rsid w:val="00082E88"/>
    <w:rsid w:val="00090F1A"/>
    <w:rsid w:val="001C4902"/>
    <w:rsid w:val="001D4554"/>
    <w:rsid w:val="002067FF"/>
    <w:rsid w:val="00221B2F"/>
    <w:rsid w:val="002E0B57"/>
    <w:rsid w:val="00331ABB"/>
    <w:rsid w:val="00336E78"/>
    <w:rsid w:val="00391962"/>
    <w:rsid w:val="003F0439"/>
    <w:rsid w:val="0043533B"/>
    <w:rsid w:val="006550B1"/>
    <w:rsid w:val="0079510C"/>
    <w:rsid w:val="007A41DF"/>
    <w:rsid w:val="007C00B5"/>
    <w:rsid w:val="007C48E6"/>
    <w:rsid w:val="007C72E7"/>
    <w:rsid w:val="007F53AA"/>
    <w:rsid w:val="0082590C"/>
    <w:rsid w:val="008D40FA"/>
    <w:rsid w:val="00921EB0"/>
    <w:rsid w:val="00953700"/>
    <w:rsid w:val="00992DF3"/>
    <w:rsid w:val="009C5721"/>
    <w:rsid w:val="00A73D01"/>
    <w:rsid w:val="00AC6B8A"/>
    <w:rsid w:val="00AD7FEF"/>
    <w:rsid w:val="00B63C81"/>
    <w:rsid w:val="00DA452B"/>
    <w:rsid w:val="00E7663D"/>
    <w:rsid w:val="00EB5B5F"/>
    <w:rsid w:val="00F456ED"/>
    <w:rsid w:val="00FE2C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FE2CE5"/>
  </w:style>
  <w:style w:type="paragraph" w:styleId="ListParagraph">
    <w:name w:val="List Paragraph"/>
    <w:basedOn w:val="Normal"/>
    <w:uiPriority w:val="34"/>
    <w:qFormat/>
    <w:rsid w:val="007A41DF"/>
    <w:pPr>
      <w:ind w:left="720"/>
      <w:contextualSpacing/>
    </w:pPr>
  </w:style>
  <w:style w:type="paragraph" w:styleId="BodyText2">
    <w:name w:val="Body Text 2"/>
    <w:basedOn w:val="Normal"/>
    <w:link w:val="BodyText2Char"/>
    <w:uiPriority w:val="99"/>
    <w:semiHidden/>
    <w:unhideWhenUsed/>
    <w:rsid w:val="007C72E7"/>
    <w:pPr>
      <w:spacing w:after="120" w:line="480" w:lineRule="auto"/>
    </w:pPr>
    <w:rPr>
      <w:rFonts w:ascii="Times New Roman" w:eastAsia="Times New Roman" w:hAnsi="Times New Roman" w:cs="Times New Roman"/>
      <w:sz w:val="24"/>
      <w:szCs w:val="24"/>
      <w:lang w:val="fr-FR"/>
    </w:rPr>
  </w:style>
  <w:style w:type="character" w:customStyle="1" w:styleId="BodyText2Char">
    <w:name w:val="Body Text 2 Char"/>
    <w:basedOn w:val="DefaultParagraphFont"/>
    <w:link w:val="BodyText2"/>
    <w:uiPriority w:val="99"/>
    <w:semiHidden/>
    <w:rsid w:val="007C72E7"/>
    <w:rPr>
      <w:rFonts w:ascii="Times New Roman" w:eastAsia="Times New Roman" w:hAnsi="Times New Roman" w:cs="Times New Roman"/>
      <w:sz w:val="24"/>
      <w:szCs w:val="24"/>
      <w:lang w:val="fr-FR"/>
    </w:rPr>
  </w:style>
  <w:style w:type="paragraph" w:styleId="NoSpacing">
    <w:name w:val="No Spacing"/>
    <w:link w:val="NoSpacingChar"/>
    <w:uiPriority w:val="1"/>
    <w:qFormat/>
    <w:rsid w:val="007C72E7"/>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7C72E7"/>
    <w:rPr>
      <w:rFonts w:ascii="Times New Roman" w:eastAsia="MS Mincho" w:hAnsi="Times New Roman" w:cs="Times New Roman"/>
      <w:sz w:val="24"/>
      <w:szCs w:val="24"/>
      <w:lang w:val="fr-FR"/>
    </w:rPr>
  </w:style>
  <w:style w:type="paragraph" w:styleId="Footer">
    <w:name w:val="footer"/>
    <w:basedOn w:val="Normal"/>
    <w:link w:val="FooterChar"/>
    <w:uiPriority w:val="99"/>
    <w:unhideWhenUsed/>
    <w:rsid w:val="00953700"/>
    <w:pPr>
      <w:tabs>
        <w:tab w:val="center" w:pos="4680"/>
        <w:tab w:val="right" w:pos="9360"/>
      </w:tabs>
      <w:spacing w:after="0" w:line="240" w:lineRule="auto"/>
    </w:pPr>
    <w:rPr>
      <w:rFonts w:ascii="Calibri" w:eastAsia="Calibri" w:hAnsi="Calibri" w:cs="Times New Roman"/>
      <w:lang w:val="fr-FR"/>
    </w:rPr>
  </w:style>
  <w:style w:type="character" w:customStyle="1" w:styleId="FooterChar">
    <w:name w:val="Footer Char"/>
    <w:basedOn w:val="DefaultParagraphFont"/>
    <w:link w:val="Footer"/>
    <w:uiPriority w:val="99"/>
    <w:rsid w:val="00953700"/>
    <w:rPr>
      <w:rFonts w:ascii="Calibri" w:eastAsia="Calibri" w:hAnsi="Calibri" w:cs="Times New Roman"/>
      <w:lang w:val="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1193</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FINANCIERE</dc:creator>
  <cp:lastModifiedBy>Windows User</cp:lastModifiedBy>
  <cp:revision>5</cp:revision>
  <dcterms:created xsi:type="dcterms:W3CDTF">2020-07-24T00:54:00Z</dcterms:created>
  <dcterms:modified xsi:type="dcterms:W3CDTF">2020-07-24T01:21:00Z</dcterms:modified>
</cp:coreProperties>
</file>