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AAA63" w14:textId="1EA34412" w:rsidR="00325812" w:rsidRPr="00480CEF" w:rsidRDefault="00325812" w:rsidP="00480CEF">
      <w:pPr>
        <w:widowControl/>
        <w:spacing w:after="0" w:line="240" w:lineRule="auto"/>
        <w:jc w:val="center"/>
        <w:rPr>
          <w:rFonts w:ascii="Palatino Linotype" w:eastAsia="Calibri" w:hAnsi="Palatino Linotype" w:cstheme="minorHAnsi"/>
          <w:b/>
          <w:color w:val="000000"/>
          <w:lang w:val="fr-FR"/>
        </w:rPr>
      </w:pPr>
      <w:r w:rsidRPr="00480CEF">
        <w:rPr>
          <w:rFonts w:ascii="Palatino Linotype" w:eastAsia="Calibri" w:hAnsi="Palatino Linotype" w:cstheme="minorHAnsi"/>
          <w:b/>
          <w:color w:val="000000"/>
          <w:lang w:val="fr-FR"/>
        </w:rPr>
        <w:t>STATEMENT OF WORK</w:t>
      </w:r>
    </w:p>
    <w:p w14:paraId="6C374695" w14:textId="78772F11" w:rsidR="00325812" w:rsidRPr="00480CEF" w:rsidRDefault="00325812" w:rsidP="00480CEF">
      <w:pPr>
        <w:widowControl/>
        <w:spacing w:after="0" w:line="240" w:lineRule="auto"/>
        <w:jc w:val="center"/>
        <w:rPr>
          <w:rFonts w:ascii="Palatino Linotype" w:eastAsia="Calibri" w:hAnsi="Palatino Linotype" w:cstheme="minorHAnsi"/>
          <w:b/>
          <w:lang w:val="fr-FR"/>
        </w:rPr>
      </w:pPr>
      <w:r w:rsidRPr="00480CEF">
        <w:rPr>
          <w:rFonts w:ascii="Palatino Linotype" w:eastAsia="Calibri" w:hAnsi="Palatino Linotype" w:cstheme="minorHAnsi"/>
          <w:b/>
          <w:lang w:val="fr-FR"/>
        </w:rPr>
        <w:t>TERMES DE RÉFÉRENCE (TDR)</w:t>
      </w:r>
    </w:p>
    <w:p w14:paraId="0F5598CA" w14:textId="77777777" w:rsidR="00325812" w:rsidRPr="00480CEF" w:rsidRDefault="00325812" w:rsidP="00480CEF">
      <w:pPr>
        <w:widowControl/>
        <w:spacing w:after="0" w:line="240" w:lineRule="auto"/>
        <w:jc w:val="center"/>
        <w:rPr>
          <w:rFonts w:ascii="Palatino Linotype" w:eastAsia="Calibri" w:hAnsi="Palatino Linotype" w:cstheme="minorHAnsi"/>
          <w:b/>
          <w:lang w:val="fr-FR"/>
        </w:rPr>
      </w:pPr>
    </w:p>
    <w:p w14:paraId="2BACD2DB" w14:textId="33352627" w:rsidR="009E6F18" w:rsidRPr="009E6F18" w:rsidRDefault="00D65930" w:rsidP="009E6F18">
      <w:pPr>
        <w:spacing w:after="120"/>
        <w:jc w:val="center"/>
        <w:rPr>
          <w:rStyle w:val="tlid-translation"/>
          <w:rFonts w:ascii="Palatino Linotype" w:hAnsi="Palatino Linotype"/>
          <w:b/>
          <w:bCs/>
          <w:lang w:val="en"/>
        </w:rPr>
      </w:pPr>
      <w:r w:rsidRPr="00480CEF">
        <w:rPr>
          <w:rFonts w:ascii="Palatino Linotype" w:eastAsia="Calibri" w:hAnsi="Palatino Linotype" w:cs="Times New Roman"/>
          <w:b/>
          <w:lang w:val="fr-FR"/>
        </w:rPr>
        <w:t>RECRUTEMENT D</w:t>
      </w:r>
      <w:r w:rsidR="00480CEF">
        <w:rPr>
          <w:rFonts w:ascii="Palatino Linotype" w:eastAsia="Calibri" w:hAnsi="Palatino Linotype" w:cs="Times New Roman"/>
          <w:b/>
          <w:lang w:val="fr-FR"/>
        </w:rPr>
        <w:t xml:space="preserve">e DEUX </w:t>
      </w:r>
      <w:r w:rsidRPr="00480CEF">
        <w:rPr>
          <w:rFonts w:ascii="Palatino Linotype" w:eastAsia="Calibri" w:hAnsi="Palatino Linotype" w:cs="Times New Roman"/>
          <w:b/>
          <w:lang w:val="fr-FR"/>
        </w:rPr>
        <w:t>CONSULTANT</w:t>
      </w:r>
      <w:r w:rsidR="00480CEF">
        <w:rPr>
          <w:rFonts w:ascii="Palatino Linotype" w:eastAsia="Calibri" w:hAnsi="Palatino Linotype" w:cs="Times New Roman"/>
          <w:b/>
          <w:lang w:val="fr-FR"/>
        </w:rPr>
        <w:t>S EXPERTS</w:t>
      </w:r>
      <w:r w:rsidR="009E6F18">
        <w:rPr>
          <w:rStyle w:val="tlid-translation"/>
          <w:b/>
          <w:bCs/>
          <w:sz w:val="20"/>
          <w:szCs w:val="20"/>
          <w:lang w:val="en"/>
        </w:rPr>
        <w:t xml:space="preserve"> </w:t>
      </w:r>
      <w:r w:rsidR="009E6F18" w:rsidRPr="009E6F18">
        <w:rPr>
          <w:rStyle w:val="tlid-translation"/>
          <w:rFonts w:ascii="Palatino Linotype" w:hAnsi="Palatino Linotype"/>
          <w:b/>
          <w:bCs/>
          <w:lang w:val="en"/>
        </w:rPr>
        <w:t>(1) NATIONAL ET (1) INTERNATIONAL</w:t>
      </w:r>
    </w:p>
    <w:p w14:paraId="6EA1EDA1" w14:textId="7598E11D" w:rsidR="00480CEF" w:rsidRDefault="009E6F18" w:rsidP="009E6F18">
      <w:pPr>
        <w:spacing w:after="120"/>
        <w:jc w:val="center"/>
        <w:rPr>
          <w:rStyle w:val="tlid-translation"/>
          <w:b/>
          <w:bCs/>
          <w:sz w:val="20"/>
          <w:szCs w:val="20"/>
          <w:lang w:val="en"/>
        </w:rPr>
      </w:pPr>
      <w:r w:rsidRPr="009E6F18">
        <w:rPr>
          <w:rFonts w:ascii="Palatino Linotype" w:eastAsia="Calibri" w:hAnsi="Palatino Linotype" w:cs="Times New Roman"/>
          <w:b/>
          <w:lang w:val="fr-FR"/>
        </w:rPr>
        <w:t>POUR LE DEVELOPPEMENT</w:t>
      </w:r>
      <w:r>
        <w:rPr>
          <w:rFonts w:ascii="Palatino Linotype" w:eastAsia="Calibri" w:hAnsi="Palatino Linotype" w:cs="Times New Roman"/>
          <w:b/>
          <w:lang w:val="fr-FR"/>
        </w:rPr>
        <w:t xml:space="preserve"> </w:t>
      </w:r>
      <w:r w:rsidR="00480CEF">
        <w:rPr>
          <w:rFonts w:ascii="Palatino Linotype" w:eastAsia="Calibri" w:hAnsi="Palatino Linotype" w:cs="Times New Roman"/>
          <w:b/>
          <w:lang w:val="fr-FR"/>
        </w:rPr>
        <w:t xml:space="preserve">DU MANUEL </w:t>
      </w:r>
      <w:r>
        <w:rPr>
          <w:rFonts w:ascii="Palatino Linotype" w:eastAsia="Calibri" w:hAnsi="Palatino Linotype" w:cs="Times New Roman"/>
          <w:b/>
          <w:lang w:val="fr-FR"/>
        </w:rPr>
        <w:t>DE PROCEDURE DE LA COUR</w:t>
      </w:r>
      <w:r w:rsidR="00480CEF">
        <w:rPr>
          <w:rStyle w:val="tlid-translation"/>
          <w:b/>
          <w:bCs/>
          <w:sz w:val="20"/>
          <w:szCs w:val="20"/>
          <w:lang w:val="en"/>
        </w:rPr>
        <w:t xml:space="preserve"> </w:t>
      </w:r>
    </w:p>
    <w:p w14:paraId="184F086B" w14:textId="6A2D4123" w:rsidR="00325812" w:rsidRPr="00480CEF" w:rsidRDefault="00325812" w:rsidP="00480CEF">
      <w:pPr>
        <w:widowControl/>
        <w:spacing w:after="0" w:line="240" w:lineRule="auto"/>
        <w:jc w:val="both"/>
        <w:rPr>
          <w:rFonts w:ascii="Palatino Linotype" w:eastAsia="Calibri" w:hAnsi="Palatino Linotype" w:cstheme="minorHAnsi"/>
          <w:b/>
          <w:lang w:val="fr-FR"/>
        </w:rPr>
      </w:pPr>
      <w:proofErr w:type="spellStart"/>
      <w:r w:rsidRPr="00480CEF">
        <w:rPr>
          <w:rFonts w:ascii="Palatino Linotype" w:eastAsia="Calibri" w:hAnsi="Palatino Linotype" w:cstheme="minorHAnsi"/>
          <w:b/>
          <w:lang w:val="fr-FR"/>
        </w:rPr>
        <w:t>Solicitation</w:t>
      </w:r>
      <w:proofErr w:type="spellEnd"/>
      <w:r w:rsidRPr="00480CEF">
        <w:rPr>
          <w:rFonts w:ascii="Palatino Linotype" w:eastAsia="Calibri" w:hAnsi="Palatino Linotype" w:cstheme="minorHAnsi"/>
          <w:b/>
          <w:lang w:val="fr-FR"/>
        </w:rPr>
        <w:t xml:space="preserve"> </w:t>
      </w:r>
      <w:proofErr w:type="spellStart"/>
      <w:r w:rsidRPr="00480CEF">
        <w:rPr>
          <w:rFonts w:ascii="Palatino Linotype" w:eastAsia="Calibri" w:hAnsi="Palatino Linotype" w:cstheme="minorHAnsi"/>
          <w:b/>
          <w:lang w:val="fr-FR"/>
        </w:rPr>
        <w:t>Number</w:t>
      </w:r>
      <w:proofErr w:type="spellEnd"/>
      <w:r w:rsidRPr="00480CEF">
        <w:rPr>
          <w:rFonts w:ascii="Palatino Linotype" w:eastAsia="Calibri" w:hAnsi="Palatino Linotype" w:cstheme="minorHAnsi"/>
          <w:b/>
          <w:lang w:val="fr-FR"/>
        </w:rPr>
        <w:t xml:space="preserve"> : </w:t>
      </w:r>
      <w:r w:rsidRPr="00480CEF">
        <w:rPr>
          <w:rFonts w:ascii="Palatino Linotype" w:eastAsia="Calibri" w:hAnsi="Palatino Linotype" w:cstheme="minorHAnsi"/>
          <w:b/>
          <w:u w:val="single"/>
          <w:lang w:val="fr-FR"/>
        </w:rPr>
        <w:t>FY20-001</w:t>
      </w:r>
      <w:r w:rsidR="004A2D5C" w:rsidRPr="00480CEF">
        <w:rPr>
          <w:rFonts w:ascii="Palatino Linotype" w:eastAsia="Calibri" w:hAnsi="Palatino Linotype" w:cstheme="minorHAnsi"/>
          <w:b/>
          <w:u w:val="single"/>
          <w:lang w:val="fr-FR"/>
        </w:rPr>
        <w:t>3</w:t>
      </w:r>
    </w:p>
    <w:p w14:paraId="6524CCCF" w14:textId="3FD0741C" w:rsidR="00325812" w:rsidRDefault="00325812" w:rsidP="00480CEF">
      <w:pPr>
        <w:widowControl/>
        <w:spacing w:after="0" w:line="240" w:lineRule="auto"/>
        <w:rPr>
          <w:rFonts w:ascii="Palatino Linotype" w:eastAsia="Calibri" w:hAnsi="Palatino Linotype" w:cs="Times New Roman"/>
          <w:b/>
          <w:bCs/>
          <w:u w:val="single"/>
          <w:lang w:val="fr-FR"/>
        </w:rPr>
      </w:pPr>
      <w:r w:rsidRPr="00480CEF">
        <w:rPr>
          <w:rFonts w:ascii="Palatino Linotype" w:eastAsia="Calibri" w:hAnsi="Palatino Linotype" w:cs="Times New Roman"/>
          <w:b/>
          <w:bCs/>
          <w:lang w:val="fr-FR"/>
        </w:rPr>
        <w:t xml:space="preserve">Numéro de l'appel d'offres </w:t>
      </w:r>
      <w:r w:rsidRPr="00480CEF">
        <w:rPr>
          <w:rFonts w:ascii="Palatino Linotype" w:eastAsia="Calibri" w:hAnsi="Palatino Linotype" w:cs="Times New Roman"/>
          <w:b/>
          <w:bCs/>
          <w:u w:val="single"/>
          <w:lang w:val="fr-FR"/>
        </w:rPr>
        <w:t>FY20 -001</w:t>
      </w:r>
      <w:r w:rsidR="004A2D5C" w:rsidRPr="00480CEF">
        <w:rPr>
          <w:rFonts w:ascii="Palatino Linotype" w:eastAsia="Calibri" w:hAnsi="Palatino Linotype" w:cs="Times New Roman"/>
          <w:b/>
          <w:bCs/>
          <w:u w:val="single"/>
          <w:lang w:val="fr-FR"/>
        </w:rPr>
        <w:t>3</w:t>
      </w:r>
    </w:p>
    <w:p w14:paraId="4DC0178B" w14:textId="61B778E9" w:rsidR="00023370" w:rsidRDefault="00023370" w:rsidP="00023370">
      <w:pPr>
        <w:rPr>
          <w:b/>
          <w:bCs/>
        </w:rPr>
      </w:pPr>
      <w:r w:rsidRPr="00023370">
        <w:rPr>
          <w:b/>
          <w:bCs/>
        </w:rPr>
        <w:t>D</w:t>
      </w:r>
      <w:r w:rsidR="00137DC7">
        <w:rPr>
          <w:b/>
          <w:bCs/>
        </w:rPr>
        <w:t xml:space="preserve">ate </w:t>
      </w:r>
      <w:proofErr w:type="spellStart"/>
      <w:r w:rsidR="00137DC7">
        <w:rPr>
          <w:b/>
          <w:bCs/>
        </w:rPr>
        <w:t>limite</w:t>
      </w:r>
      <w:proofErr w:type="spellEnd"/>
      <w:r w:rsidR="00137DC7">
        <w:rPr>
          <w:b/>
          <w:bCs/>
        </w:rPr>
        <w:t xml:space="preserve">: </w:t>
      </w:r>
      <w:r>
        <w:rPr>
          <w:b/>
          <w:bCs/>
        </w:rPr>
        <w:t>3</w:t>
      </w:r>
      <w:r w:rsidR="00137DC7">
        <w:rPr>
          <w:b/>
          <w:bCs/>
        </w:rPr>
        <w:t xml:space="preserve"> </w:t>
      </w:r>
      <w:proofErr w:type="spellStart"/>
      <w:r w:rsidR="00137DC7">
        <w:rPr>
          <w:b/>
          <w:bCs/>
        </w:rPr>
        <w:t>Juillet</w:t>
      </w:r>
      <w:proofErr w:type="spellEnd"/>
      <w:r w:rsidRPr="00023370">
        <w:rPr>
          <w:b/>
          <w:bCs/>
        </w:rPr>
        <w:t>, 2020</w:t>
      </w:r>
    </w:p>
    <w:p w14:paraId="35E283F9" w14:textId="77777777" w:rsidR="00325812" w:rsidRPr="00480CEF" w:rsidRDefault="00325812" w:rsidP="00480CEF">
      <w:pPr>
        <w:widowControl/>
        <w:spacing w:after="0" w:line="240" w:lineRule="auto"/>
        <w:rPr>
          <w:rFonts w:ascii="Palatino Linotype" w:eastAsia="Calibri" w:hAnsi="Palatino Linotype" w:cstheme="minorHAnsi"/>
          <w:b/>
          <w:lang w:val="fr-FR"/>
        </w:rPr>
      </w:pPr>
    </w:p>
    <w:p w14:paraId="4DEDA68C" w14:textId="047EB05B" w:rsidR="00325812" w:rsidRPr="00480CEF" w:rsidRDefault="00325812" w:rsidP="00480CEF">
      <w:pPr>
        <w:widowControl/>
        <w:numPr>
          <w:ilvl w:val="0"/>
          <w:numId w:val="7"/>
        </w:numPr>
        <w:spacing w:after="0" w:line="240" w:lineRule="auto"/>
        <w:contextualSpacing/>
        <w:jc w:val="both"/>
        <w:rPr>
          <w:rFonts w:ascii="Palatino Linotype" w:eastAsia="Calibri" w:hAnsi="Palatino Linotype" w:cstheme="minorHAnsi"/>
          <w:b/>
          <w:bCs/>
          <w:u w:val="single"/>
          <w:lang w:val="fr-FR"/>
        </w:rPr>
      </w:pPr>
      <w:r w:rsidRPr="00480CEF">
        <w:rPr>
          <w:rFonts w:ascii="Palatino Linotype" w:eastAsia="Calibri" w:hAnsi="Palatino Linotype" w:cstheme="minorHAnsi"/>
          <w:b/>
          <w:bCs/>
          <w:u w:val="single"/>
          <w:lang w:val="fr-FR"/>
        </w:rPr>
        <w:t xml:space="preserve">CONTEXTE GENERAL </w:t>
      </w:r>
    </w:p>
    <w:p w14:paraId="0B404138" w14:textId="77777777" w:rsidR="00DE44AD" w:rsidRPr="00480CEF" w:rsidRDefault="00DE44AD" w:rsidP="00480CEF">
      <w:pPr>
        <w:widowControl/>
        <w:spacing w:after="0" w:line="240" w:lineRule="auto"/>
        <w:ind w:left="900"/>
        <w:contextualSpacing/>
        <w:jc w:val="both"/>
        <w:rPr>
          <w:rFonts w:ascii="Palatino Linotype" w:eastAsia="Calibri" w:hAnsi="Palatino Linotype" w:cstheme="minorHAnsi"/>
          <w:b/>
          <w:bCs/>
          <w:u w:val="single"/>
          <w:lang w:val="fr-FR"/>
        </w:rPr>
      </w:pPr>
    </w:p>
    <w:p w14:paraId="311B2074" w14:textId="6A7E25D8" w:rsidR="00325812" w:rsidRPr="00480CEF" w:rsidRDefault="00325812" w:rsidP="00480CEF">
      <w:pPr>
        <w:widowControl/>
        <w:spacing w:after="0" w:line="240" w:lineRule="auto"/>
        <w:jc w:val="both"/>
        <w:rPr>
          <w:rFonts w:ascii="Palatino Linotype" w:eastAsia="Calibri" w:hAnsi="Palatino Linotype" w:cstheme="minorHAnsi"/>
          <w:lang w:val="fr-FR"/>
        </w:rPr>
      </w:pPr>
      <w:r w:rsidRPr="00480CEF">
        <w:rPr>
          <w:rFonts w:ascii="Palatino Linotype" w:eastAsia="Calibri" w:hAnsi="Palatino Linotype" w:cstheme="minorHAnsi"/>
          <w:lang w:val="fr-FR"/>
        </w:rPr>
        <w:t xml:space="preserve">Financé par l’Agence Américaine pour le Développement International (USAID) en </w:t>
      </w:r>
      <w:proofErr w:type="spellStart"/>
      <w:r w:rsidRPr="00480CEF">
        <w:rPr>
          <w:rFonts w:ascii="Palatino Linotype" w:eastAsia="Calibri" w:hAnsi="Palatino Linotype" w:cstheme="minorHAnsi"/>
          <w:lang w:val="fr-FR"/>
        </w:rPr>
        <w:t>Haiti</w:t>
      </w:r>
      <w:proofErr w:type="spellEnd"/>
      <w:r w:rsidRPr="00480CEF">
        <w:rPr>
          <w:rFonts w:ascii="Palatino Linotype" w:eastAsia="Calibri" w:hAnsi="Palatino Linotype" w:cstheme="minorHAnsi"/>
          <w:lang w:val="fr-FR"/>
        </w:rPr>
        <w:t xml:space="preserve">, le Projet d’Appui à la Gestion Efficace des Ressources de l’État (GERÉ) sera mis en œuvre pour une </w:t>
      </w:r>
      <w:proofErr w:type="gramStart"/>
      <w:r w:rsidRPr="00480CEF">
        <w:rPr>
          <w:rFonts w:ascii="Palatino Linotype" w:eastAsia="Calibri" w:hAnsi="Palatino Linotype" w:cstheme="minorHAnsi"/>
          <w:lang w:val="fr-FR"/>
        </w:rPr>
        <w:t>période</w:t>
      </w:r>
      <w:proofErr w:type="gramEnd"/>
      <w:r w:rsidRPr="00480CEF">
        <w:rPr>
          <w:rFonts w:ascii="Palatino Linotype" w:eastAsia="Calibri" w:hAnsi="Palatino Linotype" w:cstheme="minorHAnsi"/>
          <w:lang w:val="fr-FR"/>
        </w:rPr>
        <w:t xml:space="preserve"> de trois (03) ans, avec une option de deux (2) années supplémentaires. </w:t>
      </w:r>
      <w:r w:rsidRPr="00480CEF">
        <w:rPr>
          <w:rFonts w:ascii="Palatino Linotype" w:hAnsi="Palatino Linotype" w:cstheme="minorHAnsi"/>
          <w:lang w:val="fr-FR"/>
        </w:rPr>
        <w:t xml:space="preserve">Ce projet est dirigé par un consortium composé d’une firme américaine </w:t>
      </w:r>
      <w:proofErr w:type="spellStart"/>
      <w:r w:rsidRPr="00480CEF">
        <w:rPr>
          <w:rFonts w:ascii="Palatino Linotype" w:eastAsia="Calibri" w:hAnsi="Palatino Linotype" w:cstheme="minorHAnsi"/>
          <w:lang w:val="fr-FR"/>
        </w:rPr>
        <w:t>Resear</w:t>
      </w:r>
      <w:r w:rsidR="00501695" w:rsidRPr="00480CEF">
        <w:rPr>
          <w:rFonts w:ascii="Palatino Linotype" w:eastAsia="Calibri" w:hAnsi="Palatino Linotype" w:cstheme="minorHAnsi"/>
          <w:lang w:val="fr-FR"/>
        </w:rPr>
        <w:t>c</w:t>
      </w:r>
      <w:r w:rsidRPr="00480CEF">
        <w:rPr>
          <w:rFonts w:ascii="Palatino Linotype" w:eastAsia="Calibri" w:hAnsi="Palatino Linotype" w:cstheme="minorHAnsi"/>
          <w:lang w:val="fr-FR"/>
        </w:rPr>
        <w:t>h</w:t>
      </w:r>
      <w:proofErr w:type="spellEnd"/>
      <w:r w:rsidRPr="00480CEF">
        <w:rPr>
          <w:rFonts w:ascii="Palatino Linotype" w:eastAsia="Calibri" w:hAnsi="Palatino Linotype" w:cstheme="minorHAnsi"/>
          <w:lang w:val="fr-FR"/>
        </w:rPr>
        <w:t xml:space="preserve"> Triangle International (RTI) et de deux firmes haïtiennes : le Centre de Formation et d’Encadrement Technique (CFET) et l’Institution de Formation et de Services SA (IFOS).</w:t>
      </w:r>
    </w:p>
    <w:p w14:paraId="08FDBBB3" w14:textId="77777777" w:rsidR="00325812" w:rsidRPr="00480CEF" w:rsidRDefault="00325812" w:rsidP="00480CEF">
      <w:pPr>
        <w:widowControl/>
        <w:autoSpaceDE w:val="0"/>
        <w:autoSpaceDN w:val="0"/>
        <w:adjustRightInd w:val="0"/>
        <w:spacing w:after="0" w:line="240" w:lineRule="auto"/>
        <w:jc w:val="both"/>
        <w:rPr>
          <w:rFonts w:ascii="Palatino Linotype" w:eastAsia="Calibri" w:hAnsi="Palatino Linotype" w:cstheme="minorHAnsi"/>
          <w:color w:val="000000"/>
          <w:lang w:val="fr-FR"/>
        </w:rPr>
      </w:pPr>
    </w:p>
    <w:p w14:paraId="78B8C293" w14:textId="3C5AF88B" w:rsidR="00325812" w:rsidRPr="00480CEF" w:rsidRDefault="00325812" w:rsidP="00480CEF">
      <w:pPr>
        <w:widowControl/>
        <w:autoSpaceDE w:val="0"/>
        <w:autoSpaceDN w:val="0"/>
        <w:adjustRightInd w:val="0"/>
        <w:spacing w:after="0" w:line="240" w:lineRule="auto"/>
        <w:jc w:val="both"/>
        <w:rPr>
          <w:rFonts w:ascii="Palatino Linotype" w:eastAsia="Calibri" w:hAnsi="Palatino Linotype" w:cstheme="minorHAnsi"/>
          <w:color w:val="000000"/>
          <w:lang w:val="fr-FR"/>
        </w:rPr>
      </w:pPr>
      <w:r w:rsidRPr="00480CEF">
        <w:rPr>
          <w:rFonts w:ascii="Palatino Linotype" w:eastAsia="Calibri" w:hAnsi="Palatino Linotype" w:cstheme="minorHAnsi"/>
          <w:color w:val="000000"/>
          <w:lang w:val="fr-FR"/>
        </w:rPr>
        <w:t>Le projet GERÉ a trois (3) principaux objectifs :</w:t>
      </w:r>
    </w:p>
    <w:p w14:paraId="3D9E07EC" w14:textId="77777777" w:rsidR="00325812" w:rsidRPr="00480CEF" w:rsidRDefault="00325812" w:rsidP="00480CEF">
      <w:pPr>
        <w:widowControl/>
        <w:spacing w:after="0" w:line="240" w:lineRule="auto"/>
        <w:jc w:val="both"/>
        <w:rPr>
          <w:rFonts w:ascii="Palatino Linotype" w:eastAsia="Calibri" w:hAnsi="Palatino Linotype" w:cstheme="minorHAnsi"/>
          <w:b/>
          <w:bCs/>
          <w:lang w:val="fr-FR"/>
        </w:rPr>
      </w:pPr>
    </w:p>
    <w:p w14:paraId="630D89B2" w14:textId="09167548" w:rsidR="00325812" w:rsidRPr="00480CEF" w:rsidRDefault="00325812" w:rsidP="00480CEF">
      <w:pPr>
        <w:pStyle w:val="ListParagraph"/>
        <w:widowControl/>
        <w:numPr>
          <w:ilvl w:val="0"/>
          <w:numId w:val="9"/>
        </w:numPr>
        <w:spacing w:after="0" w:line="240" w:lineRule="auto"/>
        <w:jc w:val="both"/>
        <w:rPr>
          <w:rFonts w:ascii="Palatino Linotype" w:eastAsia="Calibri" w:hAnsi="Palatino Linotype" w:cstheme="minorHAnsi"/>
          <w:lang w:val="fr-FR"/>
        </w:rPr>
      </w:pPr>
      <w:r w:rsidRPr="00480CEF">
        <w:rPr>
          <w:rFonts w:ascii="Palatino Linotype" w:eastAsia="Calibri" w:hAnsi="Palatino Linotype" w:cstheme="minorHAnsi"/>
          <w:b/>
          <w:bCs/>
          <w:lang w:val="fr-FR"/>
        </w:rPr>
        <w:t>Objectif 1</w:t>
      </w:r>
      <w:r w:rsidRPr="00480CEF">
        <w:rPr>
          <w:rFonts w:ascii="Palatino Linotype" w:eastAsia="Calibri" w:hAnsi="Palatino Linotype" w:cstheme="minorHAnsi"/>
          <w:lang w:val="fr-FR"/>
        </w:rPr>
        <w:t xml:space="preserve"> : Améliorer la capacité des entités gouvernementales à gérer et à mobiliser des ressources et à fournir des services aux citoyens.</w:t>
      </w:r>
    </w:p>
    <w:p w14:paraId="19685B17" w14:textId="77777777" w:rsidR="00325812" w:rsidRPr="00480CEF" w:rsidRDefault="00325812" w:rsidP="00480CEF">
      <w:pPr>
        <w:pStyle w:val="ListParagraph"/>
        <w:widowControl/>
        <w:numPr>
          <w:ilvl w:val="0"/>
          <w:numId w:val="9"/>
        </w:numPr>
        <w:spacing w:after="0" w:line="240" w:lineRule="auto"/>
        <w:jc w:val="both"/>
        <w:rPr>
          <w:rFonts w:ascii="Palatino Linotype" w:eastAsia="Calibri" w:hAnsi="Palatino Linotype" w:cstheme="minorHAnsi"/>
          <w:lang w:val="fr-FR"/>
        </w:rPr>
      </w:pPr>
      <w:r w:rsidRPr="00480CEF">
        <w:rPr>
          <w:rFonts w:ascii="Palatino Linotype" w:eastAsia="Calibri" w:hAnsi="Palatino Linotype" w:cstheme="minorHAnsi"/>
          <w:b/>
          <w:bCs/>
          <w:lang w:val="fr-FR"/>
        </w:rPr>
        <w:t>Objectif 2</w:t>
      </w:r>
      <w:r w:rsidRPr="00480CEF">
        <w:rPr>
          <w:rFonts w:ascii="Palatino Linotype" w:eastAsia="Calibri" w:hAnsi="Palatino Linotype" w:cstheme="minorHAnsi"/>
          <w:lang w:val="fr-FR"/>
        </w:rPr>
        <w:t xml:space="preserve"> : Créer des opportunités pour un plus grand engagement des citoyens, de la société civile, du secteur privé et du gouvernement dans la définition et la prise en compte des priorités de développement.</w:t>
      </w:r>
    </w:p>
    <w:p w14:paraId="537B4AA2" w14:textId="77777777" w:rsidR="00325812" w:rsidRPr="00480CEF" w:rsidRDefault="00325812" w:rsidP="00480CEF">
      <w:pPr>
        <w:pStyle w:val="ListParagraph"/>
        <w:widowControl/>
        <w:numPr>
          <w:ilvl w:val="0"/>
          <w:numId w:val="9"/>
        </w:numPr>
        <w:spacing w:after="0" w:line="240" w:lineRule="auto"/>
        <w:jc w:val="both"/>
        <w:rPr>
          <w:rFonts w:ascii="Palatino Linotype" w:eastAsia="Calibri" w:hAnsi="Palatino Linotype" w:cstheme="minorHAnsi"/>
          <w:lang w:val="fr-FR"/>
        </w:rPr>
      </w:pPr>
      <w:r w:rsidRPr="00480CEF">
        <w:rPr>
          <w:rFonts w:ascii="Palatino Linotype" w:eastAsia="Calibri" w:hAnsi="Palatino Linotype" w:cstheme="minorHAnsi"/>
          <w:b/>
          <w:bCs/>
          <w:lang w:val="fr-FR"/>
        </w:rPr>
        <w:t>Objectif 3 :</w:t>
      </w:r>
      <w:r w:rsidRPr="00480CEF">
        <w:rPr>
          <w:rFonts w:ascii="Palatino Linotype" w:eastAsia="Calibri" w:hAnsi="Palatino Linotype" w:cstheme="minorHAnsi"/>
          <w:lang w:val="fr-FR"/>
        </w:rPr>
        <w:t xml:space="preserve"> Améliorer la communication, la collaboration et la coordination entre le gouvernement et le Parlement sur les questions de politique, de budget, et de prestation de services.</w:t>
      </w:r>
    </w:p>
    <w:p w14:paraId="277FB9C5" w14:textId="77777777" w:rsidR="00325812" w:rsidRPr="00480CEF" w:rsidRDefault="00325812" w:rsidP="00480CEF">
      <w:pPr>
        <w:widowControl/>
        <w:spacing w:after="0" w:line="240" w:lineRule="auto"/>
        <w:jc w:val="both"/>
        <w:rPr>
          <w:rFonts w:ascii="Palatino Linotype" w:eastAsia="Calibri" w:hAnsi="Palatino Linotype" w:cstheme="minorHAnsi"/>
          <w:lang w:val="fr-FR"/>
        </w:rPr>
      </w:pPr>
    </w:p>
    <w:p w14:paraId="120FB4C3" w14:textId="77777777" w:rsidR="00AF106B" w:rsidRPr="00480CEF" w:rsidRDefault="00AF106B" w:rsidP="00480CEF">
      <w:pPr>
        <w:widowControl/>
        <w:spacing w:line="240" w:lineRule="auto"/>
        <w:jc w:val="both"/>
        <w:rPr>
          <w:rFonts w:ascii="Palatino Linotype" w:eastAsia="Times New Roman" w:hAnsi="Palatino Linotype" w:cs="Times New Roman"/>
          <w:bCs/>
          <w:lang w:val="fr-FR" w:eastAsia="ja-JP"/>
        </w:rPr>
      </w:pPr>
      <w:r w:rsidRPr="00480CEF">
        <w:rPr>
          <w:rFonts w:ascii="Palatino Linotype" w:eastAsia="Calibri" w:hAnsi="Palatino Linotype" w:cs="Times New Roman"/>
          <w:lang w:val="fr-FR"/>
        </w:rPr>
        <w:t xml:space="preserve">C’est dans ce cadre que s’inscrivent les présents termes de référence visant à solliciter les services professionnels </w:t>
      </w:r>
      <w:r w:rsidRPr="00480CEF">
        <w:rPr>
          <w:rFonts w:ascii="Palatino Linotype" w:eastAsia="Times New Roman" w:hAnsi="Palatino Linotype" w:cs="Times New Roman"/>
          <w:bCs/>
          <w:lang w:val="fr-FR" w:eastAsia="ja-JP"/>
        </w:rPr>
        <w:t xml:space="preserve">de deux (2) Consultants experts : un (1) National et un (1) International en vue d’une assistance technique </w:t>
      </w:r>
      <w:r w:rsidRPr="00480CEF">
        <w:rPr>
          <w:rFonts w:ascii="Palatino Linotype" w:eastAsia="Calibri" w:hAnsi="Palatino Linotype" w:cs="Times New Roman"/>
          <w:lang w:val="fr-FR"/>
        </w:rPr>
        <w:t>à</w:t>
      </w:r>
      <w:r w:rsidRPr="00480CEF">
        <w:rPr>
          <w:rFonts w:ascii="Palatino Linotype" w:eastAsia="Times New Roman" w:hAnsi="Palatino Linotype" w:cs="Times New Roman"/>
          <w:bCs/>
          <w:lang w:val="fr-FR" w:eastAsia="ja-JP"/>
        </w:rPr>
        <w:t xml:space="preserve"> la Cour Supérieure des Comptes et du Contentieux Administratif (CSCCA) pour l’élaboration d’un manuel de procédures </w:t>
      </w:r>
      <w:r w:rsidRPr="00480CEF">
        <w:rPr>
          <w:rFonts w:ascii="Palatino Linotype" w:eastAsia="Calibri" w:hAnsi="Palatino Linotype" w:cs="Times New Roman"/>
          <w:lang w:val="fr-FR"/>
        </w:rPr>
        <w:t>destiné à encadrer et à formaliser les processus opératoires des différentes entités techniques, administratives et de support de la Cour.</w:t>
      </w:r>
    </w:p>
    <w:p w14:paraId="68B0839D" w14:textId="77777777" w:rsidR="001C2111" w:rsidRPr="00480CEF" w:rsidRDefault="001C2111" w:rsidP="00480CEF">
      <w:pPr>
        <w:pStyle w:val="ListParagraph"/>
        <w:widowControl/>
        <w:numPr>
          <w:ilvl w:val="0"/>
          <w:numId w:val="7"/>
        </w:numPr>
        <w:spacing w:line="240" w:lineRule="auto"/>
        <w:jc w:val="both"/>
        <w:rPr>
          <w:rFonts w:ascii="Palatino Linotype" w:eastAsia="Calibri" w:hAnsi="Palatino Linotype" w:cs="Times New Roman"/>
          <w:b/>
          <w:lang w:val="fr-FR"/>
        </w:rPr>
      </w:pPr>
      <w:r w:rsidRPr="00480CEF">
        <w:rPr>
          <w:rFonts w:ascii="Palatino Linotype" w:eastAsia="Calibri" w:hAnsi="Palatino Linotype" w:cs="Times New Roman"/>
          <w:b/>
          <w:lang w:val="fr-FR"/>
        </w:rPr>
        <w:t xml:space="preserve">JUSTIFICATION </w:t>
      </w:r>
    </w:p>
    <w:p w14:paraId="56B6128C" w14:textId="4E4FFA12" w:rsidR="001C2111" w:rsidRPr="00480CEF" w:rsidRDefault="001C2111" w:rsidP="00480CEF">
      <w:pPr>
        <w:widowControl/>
        <w:spacing w:after="160" w:line="240" w:lineRule="auto"/>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Le Conseil en exercice de la Cour Supérieure des Comptes et du Contentieux Administratif (CSCCA), ayant constaté, à l’issue de son installation le 07 avril 2014, l’état de fonctionnement de l’institution, a commandité en 2015 un diagnostic institutionnel à l’effet de pouvoir disposer d’informations et de données pertinentes et suffisantes lui permettant d’en asseoir les bases pour </w:t>
      </w:r>
      <w:r w:rsidRPr="00480CEF">
        <w:rPr>
          <w:rFonts w:ascii="Palatino Linotype" w:eastAsia="Calibri" w:hAnsi="Palatino Linotype" w:cs="Times New Roman"/>
          <w:lang w:val="fr-FR"/>
        </w:rPr>
        <w:lastRenderedPageBreak/>
        <w:t xml:space="preserve">une gestion stratégique. Le diagnostic a ainsi relevé, entre autres faiblesses de la Cour, celles de l’inadéquation du cadre juridique existant, de manque de ressources matérielles, logistiques et financières, de l’insuffisance de personnels qualifiés pour l’exécution, de manière efficace et en temps utile, des tâches liées à ses attributions constitutionnelles et légales. A ces constats s’ajoutent l’inexistence d’un Règlement intérieur, d’un Manuel de procédures contenant la description des attributions des différentes Unités techniques et administratives composant la Cour, et celle des postes et tâches des Agents qui s’y rattachent. De là nait la nécessité de procéder à la réforme en profondeur de l’institution.  </w:t>
      </w:r>
    </w:p>
    <w:p w14:paraId="4CEFCFA2" w14:textId="77777777" w:rsidR="001C2111" w:rsidRPr="00480CEF" w:rsidRDefault="001C2111" w:rsidP="00480CEF">
      <w:pPr>
        <w:widowControl/>
        <w:numPr>
          <w:ilvl w:val="0"/>
          <w:numId w:val="7"/>
        </w:numPr>
        <w:spacing w:line="240" w:lineRule="auto"/>
        <w:jc w:val="both"/>
        <w:rPr>
          <w:rFonts w:ascii="Palatino Linotype" w:eastAsia="Calibri" w:hAnsi="Palatino Linotype" w:cs="Times New Roman"/>
          <w:b/>
          <w:lang w:val="fr-FR"/>
        </w:rPr>
      </w:pPr>
      <w:r w:rsidRPr="00480CEF">
        <w:rPr>
          <w:rFonts w:ascii="Palatino Linotype" w:eastAsia="Calibri" w:hAnsi="Palatino Linotype" w:cs="Times New Roman"/>
          <w:b/>
          <w:lang w:val="fr-FR"/>
        </w:rPr>
        <w:t xml:space="preserve">OBJECTIFS </w:t>
      </w:r>
    </w:p>
    <w:p w14:paraId="6163693F" w14:textId="77777777" w:rsidR="001C2111" w:rsidRPr="00480CEF" w:rsidRDefault="001C2111" w:rsidP="00480CEF">
      <w:pPr>
        <w:widowControl/>
        <w:spacing w:line="240" w:lineRule="auto"/>
        <w:ind w:left="720" w:hanging="720"/>
        <w:jc w:val="both"/>
        <w:rPr>
          <w:rFonts w:ascii="Palatino Linotype" w:eastAsia="Calibri" w:hAnsi="Palatino Linotype" w:cs="Times New Roman"/>
          <w:b/>
          <w:lang w:val="fr-FR"/>
        </w:rPr>
      </w:pPr>
      <w:r w:rsidRPr="00480CEF">
        <w:rPr>
          <w:rFonts w:ascii="Palatino Linotype" w:eastAsia="Calibri" w:hAnsi="Palatino Linotype" w:cs="Times New Roman"/>
          <w:b/>
          <w:lang w:val="fr-FR"/>
        </w:rPr>
        <w:t>III.1.- Objectifs globaux de la mission</w:t>
      </w:r>
    </w:p>
    <w:p w14:paraId="3DC96D7A" w14:textId="77777777" w:rsidR="001C2111" w:rsidRPr="00480CEF" w:rsidRDefault="001C2111" w:rsidP="00480CEF">
      <w:pPr>
        <w:widowControl/>
        <w:spacing w:after="160" w:line="240" w:lineRule="auto"/>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L’objectif de ce projet consiste à doter la Cour Supérieure des Comptes et du Contentieux Administratif (CSCCA) d’un dispositif de management décrivant et formalisant l'ensemble des opérations relatives à ses différentes attributions constitutionnelles légales. Ce dispositif entend, d’une part, faciliter l’autocontrôle de la Cour sur les principaux risques auxquels elle se trouve exposée et, d’autre part, constituer la base pour toute mission d’assurance qualité à laquelle elle pourra être soumise. </w:t>
      </w:r>
    </w:p>
    <w:p w14:paraId="7379C81E" w14:textId="77777777" w:rsidR="001C2111" w:rsidRPr="00480CEF" w:rsidRDefault="001C2111" w:rsidP="00480CEF">
      <w:pPr>
        <w:widowControl/>
        <w:spacing w:line="240" w:lineRule="auto"/>
        <w:ind w:left="180"/>
        <w:jc w:val="both"/>
        <w:rPr>
          <w:rFonts w:ascii="Palatino Linotype" w:eastAsia="Calibri" w:hAnsi="Palatino Linotype" w:cs="Times New Roman"/>
          <w:b/>
          <w:lang w:val="fr-FR"/>
        </w:rPr>
      </w:pPr>
      <w:r w:rsidRPr="00480CEF">
        <w:rPr>
          <w:rFonts w:ascii="Palatino Linotype" w:eastAsia="Calibri" w:hAnsi="Palatino Linotype" w:cs="Times New Roman"/>
          <w:b/>
          <w:lang w:val="fr-FR"/>
        </w:rPr>
        <w:t>III.2.- OBJECTIFS SPECIFIQUES</w:t>
      </w:r>
    </w:p>
    <w:p w14:paraId="21FF2F32" w14:textId="77777777" w:rsidR="001C2111" w:rsidRPr="00480CEF" w:rsidRDefault="001C2111" w:rsidP="00480CEF">
      <w:pPr>
        <w:widowControl/>
        <w:spacing w:after="160" w:line="240" w:lineRule="auto"/>
        <w:jc w:val="both"/>
        <w:rPr>
          <w:rFonts w:ascii="Palatino Linotype" w:eastAsia="Calibri" w:hAnsi="Palatino Linotype" w:cs="Times New Roman"/>
          <w:lang w:val="fr-FR"/>
        </w:rPr>
      </w:pPr>
      <w:r w:rsidRPr="00480CEF">
        <w:rPr>
          <w:rFonts w:ascii="Palatino Linotype" w:eastAsia="Calibri" w:hAnsi="Palatino Linotype" w:cs="Times New Roman"/>
          <w:lang w:val="fr-FR"/>
        </w:rPr>
        <w:t>Dans le cadre de la réforme de la Cour en cours d’implémentation, les objectifs spécifiques poursuivis à travers cette mission se résument comme suit :</w:t>
      </w:r>
    </w:p>
    <w:p w14:paraId="55C25439" w14:textId="77777777" w:rsidR="001C2111" w:rsidRPr="00480CEF" w:rsidRDefault="001C2111" w:rsidP="00480CEF">
      <w:pPr>
        <w:widowControl/>
        <w:numPr>
          <w:ilvl w:val="0"/>
          <w:numId w:val="25"/>
        </w:numPr>
        <w:spacing w:line="240" w:lineRule="auto"/>
        <w:contextualSpacing/>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Mettre à la disposition de la Cour un Manuel de procédures Administratives, Comptables, d’Apurement des Comptes et de contrôle juridictionnel ; </w:t>
      </w:r>
    </w:p>
    <w:p w14:paraId="1B25FE5A" w14:textId="77777777" w:rsidR="001C2111" w:rsidRPr="00480CEF" w:rsidRDefault="001C2111" w:rsidP="00480CEF">
      <w:pPr>
        <w:widowControl/>
        <w:numPr>
          <w:ilvl w:val="0"/>
          <w:numId w:val="25"/>
        </w:numPr>
        <w:spacing w:line="240" w:lineRule="auto"/>
        <w:contextualSpacing/>
        <w:jc w:val="both"/>
        <w:rPr>
          <w:rFonts w:ascii="Palatino Linotype" w:eastAsia="Calibri" w:hAnsi="Palatino Linotype" w:cs="Times New Roman"/>
          <w:lang w:val="fr-FR"/>
        </w:rPr>
      </w:pPr>
      <w:r w:rsidRPr="00480CEF">
        <w:rPr>
          <w:rFonts w:ascii="Palatino Linotype" w:eastAsia="Calibri" w:hAnsi="Palatino Linotype" w:cs="Times New Roman"/>
          <w:lang w:val="fr-FR"/>
        </w:rPr>
        <w:t>Réaliser de concert avec les principales parties prenantes la clarification des attributions des différentes Unités techniques et administratives de la Cour ;</w:t>
      </w:r>
    </w:p>
    <w:p w14:paraId="1B9B8EE6" w14:textId="77777777" w:rsidR="001C2111" w:rsidRPr="00480CEF" w:rsidRDefault="001C2111" w:rsidP="00480CEF">
      <w:pPr>
        <w:widowControl/>
        <w:numPr>
          <w:ilvl w:val="0"/>
          <w:numId w:val="25"/>
        </w:numPr>
        <w:spacing w:line="240" w:lineRule="auto"/>
        <w:contextualSpacing/>
        <w:jc w:val="both"/>
        <w:rPr>
          <w:rFonts w:ascii="Palatino Linotype" w:eastAsia="Calibri" w:hAnsi="Palatino Linotype" w:cs="Times New Roman"/>
          <w:lang w:val="fr-FR"/>
        </w:rPr>
      </w:pPr>
      <w:r w:rsidRPr="00480CEF">
        <w:rPr>
          <w:rFonts w:ascii="Palatino Linotype" w:eastAsia="Calibri" w:hAnsi="Palatino Linotype" w:cs="Times New Roman"/>
          <w:lang w:val="fr-FR"/>
        </w:rPr>
        <w:t>Décrire les différentes tâches correspondant aux postes rattachés aux Unités administratives et techniques concernées ;</w:t>
      </w:r>
    </w:p>
    <w:p w14:paraId="39C5DCFB" w14:textId="77777777" w:rsidR="001C2111" w:rsidRPr="00480CEF" w:rsidRDefault="001C2111" w:rsidP="00480CEF">
      <w:pPr>
        <w:widowControl/>
        <w:numPr>
          <w:ilvl w:val="0"/>
          <w:numId w:val="25"/>
        </w:numPr>
        <w:spacing w:line="240" w:lineRule="auto"/>
        <w:contextualSpacing/>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Décrire les règles générales de procédures de la Cour Supérieure des comptes et du Contentieux Administratif (CSCCA). </w:t>
      </w:r>
    </w:p>
    <w:p w14:paraId="685D43BC" w14:textId="77777777" w:rsidR="001C2111" w:rsidRPr="00480CEF" w:rsidRDefault="001C2111" w:rsidP="00480CEF">
      <w:pPr>
        <w:widowControl/>
        <w:numPr>
          <w:ilvl w:val="0"/>
          <w:numId w:val="24"/>
        </w:numPr>
        <w:spacing w:line="240" w:lineRule="auto"/>
        <w:ind w:left="1080"/>
        <w:jc w:val="both"/>
        <w:rPr>
          <w:rFonts w:ascii="Palatino Linotype" w:eastAsia="Calibri" w:hAnsi="Palatino Linotype" w:cs="Times New Roman"/>
          <w:b/>
          <w:lang w:val="fr-FR"/>
        </w:rPr>
      </w:pPr>
      <w:r w:rsidRPr="00480CEF">
        <w:rPr>
          <w:rFonts w:ascii="Palatino Linotype" w:eastAsia="Calibri" w:hAnsi="Palatino Linotype" w:cs="Times New Roman"/>
          <w:b/>
          <w:lang w:val="fr-FR"/>
        </w:rPr>
        <w:t>PÉRIMÈTRE DE LA MISSION</w:t>
      </w:r>
    </w:p>
    <w:p w14:paraId="5CFC684C" w14:textId="77777777" w:rsidR="001C2111" w:rsidRPr="00480CEF" w:rsidRDefault="001C2111" w:rsidP="00480CEF">
      <w:pPr>
        <w:widowControl/>
        <w:spacing w:line="240" w:lineRule="auto"/>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Les dimensions de procédures de contrôle interne à couvrir par les deux (2) Experts dans le cadre de l’exécution de cette mission se résument comme suit : </w:t>
      </w:r>
    </w:p>
    <w:p w14:paraId="5A3A261E" w14:textId="77777777" w:rsidR="001C2111" w:rsidRPr="00480CEF" w:rsidRDefault="001C2111" w:rsidP="00480CEF">
      <w:pPr>
        <w:widowControl/>
        <w:numPr>
          <w:ilvl w:val="0"/>
          <w:numId w:val="25"/>
        </w:numPr>
        <w:autoSpaceDE w:val="0"/>
        <w:autoSpaceDN w:val="0"/>
        <w:adjustRightInd w:val="0"/>
        <w:spacing w:after="120" w:line="240" w:lineRule="auto"/>
        <w:ind w:left="418"/>
        <w:rPr>
          <w:rFonts w:ascii="Palatino Linotype" w:eastAsia="Calibri" w:hAnsi="Palatino Linotype" w:cs="Times New Roman"/>
          <w:lang w:val="fr-FR"/>
        </w:rPr>
      </w:pPr>
      <w:r w:rsidRPr="00480CEF">
        <w:rPr>
          <w:rFonts w:ascii="Palatino Linotype" w:eastAsia="Calibri" w:hAnsi="Palatino Linotype" w:cs="Times New Roman"/>
          <w:lang w:val="fr-FR"/>
        </w:rPr>
        <w:t xml:space="preserve">Procédures de gestion de la communication ; </w:t>
      </w:r>
    </w:p>
    <w:p w14:paraId="03D52611" w14:textId="77777777" w:rsidR="001C2111" w:rsidRPr="00480CEF" w:rsidRDefault="001C2111" w:rsidP="00480CEF">
      <w:pPr>
        <w:widowControl/>
        <w:numPr>
          <w:ilvl w:val="0"/>
          <w:numId w:val="25"/>
        </w:numPr>
        <w:autoSpaceDE w:val="0"/>
        <w:autoSpaceDN w:val="0"/>
        <w:adjustRightInd w:val="0"/>
        <w:spacing w:after="120" w:line="240" w:lineRule="auto"/>
        <w:ind w:left="418"/>
        <w:rPr>
          <w:rFonts w:ascii="Palatino Linotype" w:eastAsia="Calibri" w:hAnsi="Palatino Linotype" w:cs="Times New Roman"/>
          <w:lang w:val="fr-FR"/>
        </w:rPr>
      </w:pPr>
      <w:r w:rsidRPr="00480CEF">
        <w:rPr>
          <w:rFonts w:ascii="Palatino Linotype" w:eastAsia="Calibri" w:hAnsi="Palatino Linotype" w:cs="Times New Roman"/>
          <w:lang w:val="fr-FR"/>
        </w:rPr>
        <w:t xml:space="preserve"> Procédures administratives ; </w:t>
      </w:r>
    </w:p>
    <w:p w14:paraId="2322137F" w14:textId="77777777" w:rsidR="001C2111" w:rsidRPr="00480CEF" w:rsidRDefault="001C2111" w:rsidP="00480CEF">
      <w:pPr>
        <w:widowControl/>
        <w:numPr>
          <w:ilvl w:val="0"/>
          <w:numId w:val="25"/>
        </w:numPr>
        <w:autoSpaceDE w:val="0"/>
        <w:autoSpaceDN w:val="0"/>
        <w:adjustRightInd w:val="0"/>
        <w:spacing w:after="120" w:line="240" w:lineRule="auto"/>
        <w:ind w:left="418"/>
        <w:rPr>
          <w:rFonts w:ascii="Palatino Linotype" w:eastAsia="Calibri" w:hAnsi="Palatino Linotype" w:cs="Times New Roman"/>
          <w:lang w:val="fr-FR"/>
        </w:rPr>
      </w:pPr>
      <w:r w:rsidRPr="00480CEF">
        <w:rPr>
          <w:rFonts w:ascii="Palatino Linotype" w:eastAsia="Calibri" w:hAnsi="Palatino Linotype" w:cs="Times New Roman"/>
          <w:lang w:val="fr-FR"/>
        </w:rPr>
        <w:t xml:space="preserve">Procédure de préparation et d’exécution de budget ; </w:t>
      </w:r>
    </w:p>
    <w:p w14:paraId="6D52C740" w14:textId="77777777" w:rsidR="001C2111" w:rsidRPr="00480CEF" w:rsidRDefault="001C2111" w:rsidP="00480CEF">
      <w:pPr>
        <w:widowControl/>
        <w:numPr>
          <w:ilvl w:val="0"/>
          <w:numId w:val="25"/>
        </w:numPr>
        <w:autoSpaceDE w:val="0"/>
        <w:autoSpaceDN w:val="0"/>
        <w:adjustRightInd w:val="0"/>
        <w:spacing w:after="120" w:line="240" w:lineRule="auto"/>
        <w:ind w:left="418"/>
        <w:rPr>
          <w:rFonts w:ascii="Palatino Linotype" w:eastAsia="Calibri" w:hAnsi="Palatino Linotype" w:cs="Times New Roman"/>
          <w:lang w:val="fr-FR"/>
        </w:rPr>
      </w:pPr>
      <w:r w:rsidRPr="00480CEF">
        <w:rPr>
          <w:rFonts w:ascii="Palatino Linotype" w:eastAsia="Calibri" w:hAnsi="Palatino Linotype" w:cs="Times New Roman"/>
          <w:lang w:val="fr-FR"/>
        </w:rPr>
        <w:t xml:space="preserve">Procédures comptables et financières ; </w:t>
      </w:r>
    </w:p>
    <w:p w14:paraId="1BB2D378" w14:textId="77777777" w:rsidR="001C2111" w:rsidRPr="00480CEF" w:rsidRDefault="001C2111" w:rsidP="00480CEF">
      <w:pPr>
        <w:widowControl/>
        <w:numPr>
          <w:ilvl w:val="0"/>
          <w:numId w:val="25"/>
        </w:numPr>
        <w:autoSpaceDE w:val="0"/>
        <w:autoSpaceDN w:val="0"/>
        <w:adjustRightInd w:val="0"/>
        <w:spacing w:after="240" w:line="240" w:lineRule="auto"/>
        <w:rPr>
          <w:rFonts w:ascii="Palatino Linotype" w:eastAsia="Calibri" w:hAnsi="Palatino Linotype" w:cs="Times New Roman"/>
          <w:lang w:val="fr-FR"/>
        </w:rPr>
      </w:pPr>
      <w:r w:rsidRPr="00480CEF">
        <w:rPr>
          <w:rFonts w:ascii="Palatino Linotype" w:eastAsia="Calibri" w:hAnsi="Palatino Linotype" w:cs="Times New Roman"/>
          <w:lang w:val="fr-FR"/>
        </w:rPr>
        <w:t xml:space="preserve">Procédures de gestion des ressources humaines ; </w:t>
      </w:r>
    </w:p>
    <w:p w14:paraId="366767C1" w14:textId="77777777" w:rsidR="001C2111" w:rsidRPr="00480CEF" w:rsidRDefault="001C2111" w:rsidP="00480CEF">
      <w:pPr>
        <w:widowControl/>
        <w:numPr>
          <w:ilvl w:val="0"/>
          <w:numId w:val="25"/>
        </w:numPr>
        <w:autoSpaceDE w:val="0"/>
        <w:autoSpaceDN w:val="0"/>
        <w:adjustRightInd w:val="0"/>
        <w:spacing w:after="120" w:line="240" w:lineRule="auto"/>
        <w:ind w:left="418"/>
        <w:rPr>
          <w:rFonts w:ascii="Palatino Linotype" w:eastAsia="Calibri" w:hAnsi="Palatino Linotype" w:cs="Times New Roman"/>
          <w:lang w:val="fr-FR"/>
        </w:rPr>
      </w:pPr>
      <w:r w:rsidRPr="00480CEF">
        <w:rPr>
          <w:rFonts w:ascii="Palatino Linotype" w:eastAsia="Calibri" w:hAnsi="Palatino Linotype" w:cs="Times New Roman"/>
          <w:lang w:val="fr-FR"/>
        </w:rPr>
        <w:t>Procédures des achats /approvisionnements ;</w:t>
      </w:r>
    </w:p>
    <w:p w14:paraId="380423B1" w14:textId="77777777" w:rsidR="001C2111" w:rsidRPr="00480CEF" w:rsidRDefault="001C2111" w:rsidP="00480CEF">
      <w:pPr>
        <w:widowControl/>
        <w:numPr>
          <w:ilvl w:val="0"/>
          <w:numId w:val="25"/>
        </w:numPr>
        <w:autoSpaceDE w:val="0"/>
        <w:autoSpaceDN w:val="0"/>
        <w:adjustRightInd w:val="0"/>
        <w:spacing w:after="120" w:line="240" w:lineRule="auto"/>
        <w:ind w:left="418"/>
        <w:rPr>
          <w:rFonts w:ascii="Palatino Linotype" w:eastAsia="Calibri" w:hAnsi="Palatino Linotype" w:cs="Times New Roman"/>
          <w:lang w:val="fr-FR"/>
        </w:rPr>
      </w:pPr>
      <w:r w:rsidRPr="00480CEF">
        <w:rPr>
          <w:rFonts w:ascii="Palatino Linotype" w:eastAsia="Calibri" w:hAnsi="Palatino Linotype" w:cs="Times New Roman"/>
          <w:lang w:val="fr-FR"/>
        </w:rPr>
        <w:lastRenderedPageBreak/>
        <w:t xml:space="preserve">Procédures de gestion des stocks ; </w:t>
      </w:r>
    </w:p>
    <w:p w14:paraId="11DA0935" w14:textId="77777777" w:rsidR="001C2111" w:rsidRPr="00480CEF" w:rsidRDefault="001C2111" w:rsidP="00480CEF">
      <w:pPr>
        <w:widowControl/>
        <w:numPr>
          <w:ilvl w:val="0"/>
          <w:numId w:val="25"/>
        </w:numPr>
        <w:autoSpaceDE w:val="0"/>
        <w:autoSpaceDN w:val="0"/>
        <w:adjustRightInd w:val="0"/>
        <w:spacing w:after="120" w:line="240" w:lineRule="auto"/>
        <w:ind w:left="418"/>
        <w:rPr>
          <w:rFonts w:ascii="Palatino Linotype" w:eastAsia="Calibri" w:hAnsi="Palatino Linotype" w:cs="Times New Roman"/>
          <w:lang w:val="fr-FR"/>
        </w:rPr>
      </w:pPr>
      <w:r w:rsidRPr="00480CEF">
        <w:rPr>
          <w:rFonts w:ascii="Palatino Linotype" w:eastAsia="Calibri" w:hAnsi="Palatino Linotype" w:cs="Times New Roman"/>
          <w:lang w:val="fr-FR"/>
        </w:rPr>
        <w:t xml:space="preserve">Procédures de gestion du patrimoine ; </w:t>
      </w:r>
    </w:p>
    <w:p w14:paraId="749FE9CD" w14:textId="77777777" w:rsidR="001C2111" w:rsidRPr="00480CEF" w:rsidRDefault="001C2111" w:rsidP="00480CEF">
      <w:pPr>
        <w:widowControl/>
        <w:numPr>
          <w:ilvl w:val="0"/>
          <w:numId w:val="25"/>
        </w:numPr>
        <w:autoSpaceDE w:val="0"/>
        <w:autoSpaceDN w:val="0"/>
        <w:adjustRightInd w:val="0"/>
        <w:spacing w:after="120" w:line="240" w:lineRule="auto"/>
        <w:ind w:left="418"/>
        <w:rPr>
          <w:rFonts w:ascii="Palatino Linotype" w:eastAsia="Calibri" w:hAnsi="Palatino Linotype" w:cs="Times New Roman"/>
          <w:lang w:val="fr-FR"/>
        </w:rPr>
      </w:pPr>
      <w:r w:rsidRPr="00480CEF">
        <w:rPr>
          <w:rFonts w:ascii="Palatino Linotype" w:eastAsia="Calibri" w:hAnsi="Palatino Linotype" w:cs="Times New Roman"/>
          <w:lang w:val="fr-FR"/>
        </w:rPr>
        <w:t xml:space="preserve">Procédures de gestion des voyages ; </w:t>
      </w:r>
    </w:p>
    <w:p w14:paraId="35D95C7A" w14:textId="77777777" w:rsidR="001C2111" w:rsidRPr="00480CEF" w:rsidRDefault="001C2111" w:rsidP="00480CEF">
      <w:pPr>
        <w:widowControl/>
        <w:numPr>
          <w:ilvl w:val="0"/>
          <w:numId w:val="25"/>
        </w:numPr>
        <w:autoSpaceDE w:val="0"/>
        <w:autoSpaceDN w:val="0"/>
        <w:adjustRightInd w:val="0"/>
        <w:spacing w:after="120" w:line="240" w:lineRule="auto"/>
        <w:ind w:left="418"/>
        <w:rPr>
          <w:rFonts w:ascii="Palatino Linotype" w:eastAsia="Calibri" w:hAnsi="Palatino Linotype" w:cs="Times New Roman"/>
          <w:lang w:val="fr-FR"/>
        </w:rPr>
      </w:pPr>
      <w:r w:rsidRPr="00480CEF">
        <w:rPr>
          <w:rFonts w:ascii="Palatino Linotype" w:eastAsia="Calibri" w:hAnsi="Palatino Linotype" w:cs="Times New Roman"/>
          <w:lang w:val="fr-FR"/>
        </w:rPr>
        <w:t xml:space="preserve">Procédures de </w:t>
      </w:r>
      <w:proofErr w:type="spellStart"/>
      <w:r w:rsidRPr="00480CEF">
        <w:rPr>
          <w:rFonts w:ascii="Palatino Linotype" w:eastAsia="Calibri" w:hAnsi="Palatino Linotype" w:cs="Times New Roman"/>
          <w:lang w:val="fr-FR"/>
        </w:rPr>
        <w:t>reporting</w:t>
      </w:r>
      <w:proofErr w:type="spellEnd"/>
      <w:r w:rsidRPr="00480CEF">
        <w:rPr>
          <w:rFonts w:ascii="Palatino Linotype" w:eastAsia="Calibri" w:hAnsi="Palatino Linotype" w:cs="Times New Roman"/>
          <w:lang w:val="fr-FR"/>
        </w:rPr>
        <w:t xml:space="preserve"> par les services ; </w:t>
      </w:r>
    </w:p>
    <w:p w14:paraId="6EBD89A9" w14:textId="77777777" w:rsidR="001C2111" w:rsidRPr="00480CEF" w:rsidRDefault="001C2111" w:rsidP="00480CEF">
      <w:pPr>
        <w:widowControl/>
        <w:numPr>
          <w:ilvl w:val="0"/>
          <w:numId w:val="25"/>
        </w:numPr>
        <w:autoSpaceDE w:val="0"/>
        <w:autoSpaceDN w:val="0"/>
        <w:adjustRightInd w:val="0"/>
        <w:spacing w:after="120" w:line="240" w:lineRule="auto"/>
        <w:ind w:left="418"/>
        <w:rPr>
          <w:rFonts w:ascii="Palatino Linotype" w:eastAsia="Calibri" w:hAnsi="Palatino Linotype" w:cs="Times New Roman"/>
          <w:lang w:val="fr-FR"/>
        </w:rPr>
      </w:pPr>
      <w:r w:rsidRPr="00480CEF">
        <w:rPr>
          <w:rFonts w:ascii="Palatino Linotype" w:eastAsia="Calibri" w:hAnsi="Palatino Linotype" w:cs="Times New Roman"/>
          <w:lang w:val="fr-FR"/>
        </w:rPr>
        <w:t xml:space="preserve">Procédures de gestion des véhicules ; </w:t>
      </w:r>
    </w:p>
    <w:p w14:paraId="78571453" w14:textId="77777777" w:rsidR="001C2111" w:rsidRPr="00480CEF" w:rsidRDefault="001C2111" w:rsidP="00480CEF">
      <w:pPr>
        <w:widowControl/>
        <w:numPr>
          <w:ilvl w:val="0"/>
          <w:numId w:val="25"/>
        </w:numPr>
        <w:autoSpaceDE w:val="0"/>
        <w:autoSpaceDN w:val="0"/>
        <w:adjustRightInd w:val="0"/>
        <w:spacing w:after="120" w:line="240" w:lineRule="auto"/>
        <w:ind w:left="418"/>
        <w:rPr>
          <w:rFonts w:ascii="Palatino Linotype" w:eastAsia="Calibri" w:hAnsi="Palatino Linotype" w:cs="Times New Roman"/>
          <w:lang w:val="fr-FR"/>
        </w:rPr>
      </w:pPr>
      <w:r w:rsidRPr="00480CEF">
        <w:rPr>
          <w:rFonts w:ascii="Palatino Linotype" w:eastAsia="Calibri" w:hAnsi="Palatino Linotype" w:cs="Times New Roman"/>
          <w:lang w:val="fr-FR"/>
        </w:rPr>
        <w:t>Procédures de gestion du système d’information ;</w:t>
      </w:r>
    </w:p>
    <w:p w14:paraId="3FB39EC7" w14:textId="77777777" w:rsidR="001C2111" w:rsidRPr="00480CEF" w:rsidRDefault="001C2111" w:rsidP="00480CEF">
      <w:pPr>
        <w:widowControl/>
        <w:numPr>
          <w:ilvl w:val="0"/>
          <w:numId w:val="25"/>
        </w:numPr>
        <w:autoSpaceDE w:val="0"/>
        <w:autoSpaceDN w:val="0"/>
        <w:adjustRightInd w:val="0"/>
        <w:spacing w:after="120" w:line="240" w:lineRule="auto"/>
        <w:ind w:left="418"/>
        <w:rPr>
          <w:rFonts w:ascii="Palatino Linotype" w:eastAsia="Calibri" w:hAnsi="Palatino Linotype" w:cs="Times New Roman"/>
          <w:lang w:val="fr-FR"/>
        </w:rPr>
      </w:pPr>
      <w:r w:rsidRPr="00480CEF">
        <w:rPr>
          <w:rFonts w:ascii="Palatino Linotype" w:eastAsia="Calibri" w:hAnsi="Palatino Linotype" w:cs="Times New Roman"/>
          <w:lang w:val="fr-FR"/>
        </w:rPr>
        <w:t>Procédures de gestion des courriers et de la documentation ;</w:t>
      </w:r>
    </w:p>
    <w:p w14:paraId="68DEFE0D" w14:textId="77777777" w:rsidR="001C2111" w:rsidRPr="00480CEF" w:rsidRDefault="001C2111" w:rsidP="00480CEF">
      <w:pPr>
        <w:widowControl/>
        <w:numPr>
          <w:ilvl w:val="0"/>
          <w:numId w:val="25"/>
        </w:numPr>
        <w:autoSpaceDE w:val="0"/>
        <w:autoSpaceDN w:val="0"/>
        <w:adjustRightInd w:val="0"/>
        <w:spacing w:after="120" w:line="240" w:lineRule="auto"/>
        <w:ind w:left="418"/>
        <w:rPr>
          <w:rFonts w:ascii="Palatino Linotype" w:eastAsia="Calibri" w:hAnsi="Palatino Linotype" w:cs="Times New Roman"/>
          <w:lang w:val="fr-FR"/>
        </w:rPr>
      </w:pPr>
      <w:r w:rsidRPr="00480CEF">
        <w:rPr>
          <w:rFonts w:ascii="Palatino Linotype" w:eastAsia="Calibri" w:hAnsi="Palatino Linotype" w:cs="Times New Roman"/>
          <w:lang w:val="fr-FR"/>
        </w:rPr>
        <w:t>Procédures de gestion des sessions et des réunions ;</w:t>
      </w:r>
    </w:p>
    <w:p w14:paraId="4DC516AF" w14:textId="77777777" w:rsidR="001C2111" w:rsidRPr="00480CEF" w:rsidRDefault="001C2111" w:rsidP="00480CEF">
      <w:pPr>
        <w:widowControl/>
        <w:numPr>
          <w:ilvl w:val="0"/>
          <w:numId w:val="25"/>
        </w:numPr>
        <w:autoSpaceDE w:val="0"/>
        <w:autoSpaceDN w:val="0"/>
        <w:adjustRightInd w:val="0"/>
        <w:spacing w:after="120" w:line="240" w:lineRule="auto"/>
        <w:ind w:left="418"/>
        <w:rPr>
          <w:rFonts w:ascii="Palatino Linotype" w:eastAsia="Calibri" w:hAnsi="Palatino Linotype" w:cs="Times New Roman"/>
          <w:lang w:val="fr-FR"/>
        </w:rPr>
      </w:pPr>
      <w:r w:rsidRPr="00480CEF">
        <w:rPr>
          <w:rFonts w:ascii="Palatino Linotype" w:eastAsia="Calibri" w:hAnsi="Palatino Linotype" w:cs="Times New Roman"/>
          <w:lang w:val="fr-FR"/>
        </w:rPr>
        <w:t>Procédures de classement et archivage des documents ;</w:t>
      </w:r>
    </w:p>
    <w:p w14:paraId="1D0408E0" w14:textId="77777777" w:rsidR="001C2111" w:rsidRPr="00480CEF" w:rsidRDefault="001C2111" w:rsidP="00480CEF">
      <w:pPr>
        <w:widowControl/>
        <w:numPr>
          <w:ilvl w:val="0"/>
          <w:numId w:val="25"/>
        </w:numPr>
        <w:autoSpaceDE w:val="0"/>
        <w:autoSpaceDN w:val="0"/>
        <w:adjustRightInd w:val="0"/>
        <w:spacing w:after="120" w:line="240" w:lineRule="auto"/>
        <w:ind w:left="418"/>
        <w:rPr>
          <w:rFonts w:ascii="Palatino Linotype" w:eastAsia="Calibri" w:hAnsi="Palatino Linotype" w:cs="Times New Roman"/>
          <w:lang w:val="fr-FR"/>
        </w:rPr>
      </w:pPr>
      <w:r w:rsidRPr="00480CEF">
        <w:rPr>
          <w:rFonts w:ascii="Palatino Linotype" w:eastAsia="Calibri" w:hAnsi="Palatino Linotype" w:cs="Times New Roman"/>
          <w:lang w:val="fr-FR"/>
        </w:rPr>
        <w:t>Procédures d’autocontrôle ;</w:t>
      </w:r>
    </w:p>
    <w:p w14:paraId="3ED52FEC" w14:textId="77777777" w:rsidR="001C2111" w:rsidRPr="00480CEF" w:rsidRDefault="001C2111" w:rsidP="00480CEF">
      <w:pPr>
        <w:widowControl/>
        <w:numPr>
          <w:ilvl w:val="0"/>
          <w:numId w:val="25"/>
        </w:numPr>
        <w:autoSpaceDE w:val="0"/>
        <w:autoSpaceDN w:val="0"/>
        <w:adjustRightInd w:val="0"/>
        <w:spacing w:after="120" w:line="240" w:lineRule="auto"/>
        <w:ind w:left="418"/>
        <w:rPr>
          <w:rFonts w:ascii="Palatino Linotype" w:eastAsia="Calibri" w:hAnsi="Palatino Linotype" w:cs="Times New Roman"/>
          <w:lang w:val="fr-FR"/>
        </w:rPr>
      </w:pPr>
      <w:r w:rsidRPr="00480CEF">
        <w:rPr>
          <w:rFonts w:ascii="Palatino Linotype" w:eastAsia="Calibri" w:hAnsi="Palatino Linotype" w:cs="Times New Roman"/>
          <w:lang w:val="fr-FR"/>
        </w:rPr>
        <w:t xml:space="preserve">Procédures de maintenance des équipements ; </w:t>
      </w:r>
    </w:p>
    <w:p w14:paraId="139C5391" w14:textId="77777777" w:rsidR="001C2111" w:rsidRPr="00480CEF" w:rsidRDefault="001C2111" w:rsidP="00480CEF">
      <w:pPr>
        <w:widowControl/>
        <w:numPr>
          <w:ilvl w:val="0"/>
          <w:numId w:val="25"/>
        </w:numPr>
        <w:autoSpaceDE w:val="0"/>
        <w:autoSpaceDN w:val="0"/>
        <w:adjustRightInd w:val="0"/>
        <w:spacing w:after="120" w:line="240" w:lineRule="auto"/>
        <w:ind w:left="418"/>
        <w:rPr>
          <w:rFonts w:ascii="Palatino Linotype" w:eastAsia="Calibri" w:hAnsi="Palatino Linotype" w:cs="Times New Roman"/>
          <w:lang w:val="fr-FR"/>
        </w:rPr>
      </w:pPr>
      <w:r w:rsidRPr="00480CEF">
        <w:rPr>
          <w:rFonts w:ascii="Palatino Linotype" w:eastAsia="Calibri" w:hAnsi="Palatino Linotype" w:cs="Times New Roman"/>
          <w:lang w:val="fr-FR"/>
        </w:rPr>
        <w:t xml:space="preserve">Procédures de suivi budgétaire ; </w:t>
      </w:r>
    </w:p>
    <w:p w14:paraId="6F3EAB8D" w14:textId="77777777" w:rsidR="001C2111" w:rsidRPr="00480CEF" w:rsidRDefault="001C2111" w:rsidP="00480CEF">
      <w:pPr>
        <w:widowControl/>
        <w:numPr>
          <w:ilvl w:val="0"/>
          <w:numId w:val="25"/>
        </w:numPr>
        <w:autoSpaceDE w:val="0"/>
        <w:autoSpaceDN w:val="0"/>
        <w:adjustRightInd w:val="0"/>
        <w:spacing w:after="120" w:line="240" w:lineRule="auto"/>
        <w:ind w:left="418"/>
        <w:rPr>
          <w:rFonts w:ascii="Palatino Linotype" w:eastAsia="Calibri" w:hAnsi="Palatino Linotype" w:cs="Times New Roman"/>
          <w:lang w:val="fr-FR"/>
        </w:rPr>
      </w:pPr>
      <w:r w:rsidRPr="00480CEF">
        <w:rPr>
          <w:rFonts w:ascii="Palatino Linotype" w:eastAsia="Calibri" w:hAnsi="Palatino Linotype" w:cs="Times New Roman"/>
          <w:lang w:val="fr-FR"/>
        </w:rPr>
        <w:t xml:space="preserve">Procédures de notification des entités auditées du déploiement des missions d’audit ; </w:t>
      </w:r>
    </w:p>
    <w:p w14:paraId="5248442C" w14:textId="77777777" w:rsidR="001C2111" w:rsidRPr="00480CEF" w:rsidRDefault="001C2111" w:rsidP="00480CEF">
      <w:pPr>
        <w:widowControl/>
        <w:numPr>
          <w:ilvl w:val="0"/>
          <w:numId w:val="25"/>
        </w:numPr>
        <w:autoSpaceDE w:val="0"/>
        <w:autoSpaceDN w:val="0"/>
        <w:adjustRightInd w:val="0"/>
        <w:spacing w:after="120" w:line="240" w:lineRule="auto"/>
        <w:ind w:left="418"/>
        <w:rPr>
          <w:rFonts w:ascii="Palatino Linotype" w:eastAsia="Calibri" w:hAnsi="Palatino Linotype" w:cs="Times New Roman"/>
          <w:lang w:val="fr-FR"/>
        </w:rPr>
      </w:pPr>
      <w:r w:rsidRPr="00480CEF">
        <w:rPr>
          <w:rFonts w:ascii="Palatino Linotype" w:eastAsia="Calibri" w:hAnsi="Palatino Linotype" w:cs="Times New Roman"/>
          <w:lang w:val="fr-FR"/>
        </w:rPr>
        <w:t xml:space="preserve">Procédures de demande de communication de documents de comptes publics par la Cour ; </w:t>
      </w:r>
    </w:p>
    <w:p w14:paraId="396C20E1" w14:textId="77777777" w:rsidR="001C2111" w:rsidRPr="00480CEF" w:rsidRDefault="001C2111" w:rsidP="00480CEF">
      <w:pPr>
        <w:widowControl/>
        <w:numPr>
          <w:ilvl w:val="0"/>
          <w:numId w:val="25"/>
        </w:numPr>
        <w:autoSpaceDE w:val="0"/>
        <w:autoSpaceDN w:val="0"/>
        <w:adjustRightInd w:val="0"/>
        <w:spacing w:after="120" w:line="240" w:lineRule="auto"/>
        <w:ind w:left="418"/>
        <w:rPr>
          <w:rFonts w:ascii="Palatino Linotype" w:eastAsia="Calibri" w:hAnsi="Palatino Linotype" w:cs="Times New Roman"/>
          <w:lang w:val="fr-FR"/>
        </w:rPr>
      </w:pPr>
      <w:r w:rsidRPr="00480CEF">
        <w:rPr>
          <w:rFonts w:ascii="Palatino Linotype" w:eastAsia="Calibri" w:hAnsi="Palatino Linotype" w:cs="Times New Roman"/>
          <w:lang w:val="fr-FR"/>
        </w:rPr>
        <w:t>Procédures d’exercice des contrôles non juridictionnels des finances publiques (a priori &amp; a posteriori)</w:t>
      </w:r>
    </w:p>
    <w:p w14:paraId="043629DD" w14:textId="77777777" w:rsidR="001C2111" w:rsidRPr="00480CEF" w:rsidRDefault="001C2111" w:rsidP="00480CEF">
      <w:pPr>
        <w:widowControl/>
        <w:numPr>
          <w:ilvl w:val="0"/>
          <w:numId w:val="25"/>
        </w:numPr>
        <w:autoSpaceDE w:val="0"/>
        <w:autoSpaceDN w:val="0"/>
        <w:adjustRightInd w:val="0"/>
        <w:spacing w:after="120" w:line="240" w:lineRule="auto"/>
        <w:ind w:left="418"/>
        <w:rPr>
          <w:rFonts w:ascii="Palatino Linotype" w:eastAsia="Calibri" w:hAnsi="Palatino Linotype" w:cs="Times"/>
          <w:lang w:val="fr-FR"/>
        </w:rPr>
      </w:pPr>
      <w:r w:rsidRPr="00480CEF">
        <w:rPr>
          <w:rFonts w:ascii="Palatino Linotype" w:eastAsia="Calibri" w:hAnsi="Palatino Linotype" w:cs="Times New Roman"/>
          <w:lang w:val="fr-FR"/>
        </w:rPr>
        <w:t>Procédures pour donner suites aux résultants des contrôles de la Cour ;</w:t>
      </w:r>
      <w:r w:rsidRPr="00480CEF">
        <w:rPr>
          <w:rFonts w:ascii="Palatino Linotype" w:eastAsia="Calibri" w:hAnsi="Palatino Linotype" w:cs="Times"/>
          <w:lang w:val="fr-FR"/>
        </w:rPr>
        <w:t xml:space="preserve"> </w:t>
      </w:r>
    </w:p>
    <w:p w14:paraId="2CF0B9C2" w14:textId="77777777" w:rsidR="001C2111" w:rsidRPr="00480CEF" w:rsidRDefault="001C2111" w:rsidP="00480CEF">
      <w:pPr>
        <w:widowControl/>
        <w:numPr>
          <w:ilvl w:val="0"/>
          <w:numId w:val="25"/>
        </w:numPr>
        <w:autoSpaceDE w:val="0"/>
        <w:autoSpaceDN w:val="0"/>
        <w:adjustRightInd w:val="0"/>
        <w:spacing w:after="120" w:line="240" w:lineRule="auto"/>
        <w:ind w:left="418"/>
        <w:rPr>
          <w:rFonts w:ascii="Palatino Linotype" w:eastAsia="Calibri" w:hAnsi="Palatino Linotype" w:cs="Times"/>
          <w:lang w:val="fr-FR"/>
        </w:rPr>
      </w:pPr>
      <w:r w:rsidRPr="00480CEF">
        <w:rPr>
          <w:rFonts w:ascii="Palatino Linotype" w:eastAsia="Calibri" w:hAnsi="Palatino Linotype" w:cs="Times New Roman"/>
          <w:lang w:val="fr-FR"/>
        </w:rPr>
        <w:t xml:space="preserve">Procédures d’exercice des contrôles juridictionnels ; </w:t>
      </w:r>
    </w:p>
    <w:p w14:paraId="2A132357" w14:textId="77777777" w:rsidR="001C2111" w:rsidRPr="00480CEF" w:rsidRDefault="001C2111" w:rsidP="00480CEF">
      <w:pPr>
        <w:widowControl/>
        <w:numPr>
          <w:ilvl w:val="0"/>
          <w:numId w:val="25"/>
        </w:numPr>
        <w:autoSpaceDE w:val="0"/>
        <w:autoSpaceDN w:val="0"/>
        <w:adjustRightInd w:val="0"/>
        <w:spacing w:after="120" w:line="240" w:lineRule="auto"/>
        <w:ind w:left="418"/>
        <w:rPr>
          <w:rFonts w:ascii="Palatino Linotype" w:eastAsia="Calibri" w:hAnsi="Palatino Linotype" w:cs="Times New Roman"/>
          <w:lang w:val="fr-FR"/>
        </w:rPr>
      </w:pPr>
      <w:r w:rsidRPr="00480CEF">
        <w:rPr>
          <w:rFonts w:ascii="Palatino Linotype" w:eastAsia="Calibri" w:hAnsi="Palatino Linotype" w:cs="Times New Roman"/>
          <w:lang w:val="fr-FR"/>
        </w:rPr>
        <w:t xml:space="preserve">Procédures de saisine du Tribunal de la Cour par les justiciables ; </w:t>
      </w:r>
    </w:p>
    <w:p w14:paraId="3B3F8E9B" w14:textId="77777777" w:rsidR="001C2111" w:rsidRPr="00480CEF" w:rsidRDefault="001C2111" w:rsidP="00480CEF">
      <w:pPr>
        <w:widowControl/>
        <w:numPr>
          <w:ilvl w:val="0"/>
          <w:numId w:val="25"/>
        </w:numPr>
        <w:autoSpaceDE w:val="0"/>
        <w:autoSpaceDN w:val="0"/>
        <w:adjustRightInd w:val="0"/>
        <w:spacing w:after="120" w:line="240" w:lineRule="auto"/>
        <w:ind w:left="418"/>
        <w:rPr>
          <w:rFonts w:ascii="Palatino Linotype" w:eastAsia="Calibri" w:hAnsi="Palatino Linotype" w:cs="Times New Roman"/>
          <w:lang w:val="fr-FR"/>
        </w:rPr>
      </w:pPr>
      <w:r w:rsidRPr="00480CEF">
        <w:rPr>
          <w:rFonts w:ascii="Palatino Linotype" w:eastAsia="Calibri" w:hAnsi="Palatino Linotype" w:cs="Times New Roman"/>
          <w:lang w:val="fr-FR"/>
        </w:rPr>
        <w:t xml:space="preserve">Procédures d’auto-saisine par la Cour ; </w:t>
      </w:r>
    </w:p>
    <w:p w14:paraId="104EAD86" w14:textId="77777777" w:rsidR="001C2111" w:rsidRPr="00480CEF" w:rsidRDefault="001C2111" w:rsidP="00480CEF">
      <w:pPr>
        <w:widowControl/>
        <w:numPr>
          <w:ilvl w:val="0"/>
          <w:numId w:val="25"/>
        </w:numPr>
        <w:autoSpaceDE w:val="0"/>
        <w:autoSpaceDN w:val="0"/>
        <w:adjustRightInd w:val="0"/>
        <w:spacing w:after="120" w:line="240" w:lineRule="auto"/>
        <w:ind w:left="418"/>
        <w:rPr>
          <w:rFonts w:ascii="Palatino Linotype" w:eastAsia="Calibri" w:hAnsi="Palatino Linotype" w:cs="Times New Roman"/>
          <w:lang w:val="fr-FR"/>
        </w:rPr>
      </w:pPr>
      <w:r w:rsidRPr="00480CEF">
        <w:rPr>
          <w:rFonts w:ascii="Palatino Linotype" w:eastAsia="Calibri" w:hAnsi="Palatino Linotype" w:cs="Times New Roman"/>
          <w:lang w:val="fr-FR"/>
        </w:rPr>
        <w:t xml:space="preserve"> Procédures d’organisation des opérations du Greffe ; </w:t>
      </w:r>
    </w:p>
    <w:p w14:paraId="35639FA8" w14:textId="77777777" w:rsidR="001C2111" w:rsidRPr="00480CEF" w:rsidRDefault="001C2111" w:rsidP="00480CEF">
      <w:pPr>
        <w:widowControl/>
        <w:numPr>
          <w:ilvl w:val="0"/>
          <w:numId w:val="25"/>
        </w:numPr>
        <w:autoSpaceDE w:val="0"/>
        <w:autoSpaceDN w:val="0"/>
        <w:adjustRightInd w:val="0"/>
        <w:spacing w:after="120" w:line="240" w:lineRule="auto"/>
        <w:ind w:left="418"/>
        <w:rPr>
          <w:rFonts w:ascii="Palatino Linotype" w:eastAsia="Calibri" w:hAnsi="Palatino Linotype" w:cs="Times New Roman"/>
          <w:lang w:val="fr-FR"/>
        </w:rPr>
      </w:pPr>
      <w:r w:rsidRPr="00480CEF">
        <w:rPr>
          <w:rFonts w:ascii="Palatino Linotype" w:eastAsia="Calibri" w:hAnsi="Palatino Linotype" w:cs="Times New Roman"/>
          <w:lang w:val="fr-FR"/>
        </w:rPr>
        <w:t xml:space="preserve">Procédures d’instruction des affaires financières et administratives ; </w:t>
      </w:r>
    </w:p>
    <w:p w14:paraId="49F0CFCA" w14:textId="77777777" w:rsidR="001C2111" w:rsidRPr="00480CEF" w:rsidRDefault="001C2111" w:rsidP="00480CEF">
      <w:pPr>
        <w:widowControl/>
        <w:numPr>
          <w:ilvl w:val="0"/>
          <w:numId w:val="25"/>
        </w:numPr>
        <w:autoSpaceDE w:val="0"/>
        <w:autoSpaceDN w:val="0"/>
        <w:adjustRightInd w:val="0"/>
        <w:spacing w:after="120" w:line="240" w:lineRule="auto"/>
        <w:ind w:left="418"/>
        <w:rPr>
          <w:rFonts w:ascii="Palatino Linotype" w:eastAsia="Calibri" w:hAnsi="Palatino Linotype" w:cs="Times New Roman"/>
          <w:lang w:val="fr-FR"/>
        </w:rPr>
      </w:pPr>
      <w:r w:rsidRPr="00480CEF">
        <w:rPr>
          <w:rFonts w:ascii="Palatino Linotype" w:eastAsia="Calibri" w:hAnsi="Palatino Linotype" w:cs="Times New Roman"/>
          <w:lang w:val="fr-FR"/>
        </w:rPr>
        <w:t xml:space="preserve">Procédures de la publicité et de la tenue des audiences du Tribunal ; </w:t>
      </w:r>
    </w:p>
    <w:p w14:paraId="36605778" w14:textId="77777777" w:rsidR="001C2111" w:rsidRPr="00480CEF" w:rsidRDefault="001C2111" w:rsidP="00480CEF">
      <w:pPr>
        <w:widowControl/>
        <w:numPr>
          <w:ilvl w:val="0"/>
          <w:numId w:val="25"/>
        </w:numPr>
        <w:autoSpaceDE w:val="0"/>
        <w:autoSpaceDN w:val="0"/>
        <w:adjustRightInd w:val="0"/>
        <w:spacing w:after="120" w:line="240" w:lineRule="auto"/>
        <w:ind w:left="418"/>
        <w:rPr>
          <w:rFonts w:ascii="Palatino Linotype" w:eastAsia="Calibri" w:hAnsi="Palatino Linotype" w:cs="Times New Roman"/>
          <w:lang w:val="fr-FR"/>
        </w:rPr>
      </w:pPr>
      <w:r w:rsidRPr="00480CEF">
        <w:rPr>
          <w:rFonts w:ascii="Palatino Linotype" w:eastAsia="Calibri" w:hAnsi="Palatino Linotype" w:cs="Times New Roman"/>
          <w:lang w:val="fr-FR"/>
        </w:rPr>
        <w:t xml:space="preserve">Procédures de délibération sur les affaires au Tribunal ; </w:t>
      </w:r>
    </w:p>
    <w:p w14:paraId="29085D54" w14:textId="77777777" w:rsidR="001C2111" w:rsidRPr="00480CEF" w:rsidRDefault="001C2111" w:rsidP="00480CEF">
      <w:pPr>
        <w:widowControl/>
        <w:numPr>
          <w:ilvl w:val="0"/>
          <w:numId w:val="25"/>
        </w:numPr>
        <w:autoSpaceDE w:val="0"/>
        <w:autoSpaceDN w:val="0"/>
        <w:adjustRightInd w:val="0"/>
        <w:spacing w:after="120" w:line="240" w:lineRule="auto"/>
        <w:ind w:left="418"/>
        <w:rPr>
          <w:rFonts w:ascii="Palatino Linotype" w:eastAsia="Calibri" w:hAnsi="Palatino Linotype" w:cs="Times New Roman"/>
          <w:lang w:val="fr-FR"/>
        </w:rPr>
      </w:pPr>
      <w:r w:rsidRPr="00480CEF">
        <w:rPr>
          <w:rFonts w:ascii="Palatino Linotype" w:eastAsia="Calibri" w:hAnsi="Palatino Linotype" w:cs="Times New Roman"/>
          <w:lang w:val="fr-FR"/>
        </w:rPr>
        <w:t>Procédures de notification des arrêts et actes d’instruction ;</w:t>
      </w:r>
    </w:p>
    <w:p w14:paraId="40F124F9" w14:textId="77777777" w:rsidR="001C2111" w:rsidRPr="00480CEF" w:rsidRDefault="001C2111" w:rsidP="00480CEF">
      <w:pPr>
        <w:widowControl/>
        <w:numPr>
          <w:ilvl w:val="0"/>
          <w:numId w:val="25"/>
        </w:numPr>
        <w:autoSpaceDE w:val="0"/>
        <w:autoSpaceDN w:val="0"/>
        <w:adjustRightInd w:val="0"/>
        <w:spacing w:after="120" w:line="240" w:lineRule="auto"/>
        <w:ind w:left="418"/>
        <w:rPr>
          <w:rFonts w:ascii="Palatino Linotype" w:eastAsia="Calibri" w:hAnsi="Palatino Linotype" w:cs="Times New Roman"/>
          <w:lang w:val="fr-FR"/>
        </w:rPr>
      </w:pPr>
      <w:r w:rsidRPr="00480CEF">
        <w:rPr>
          <w:rFonts w:ascii="Palatino Linotype" w:eastAsia="Calibri" w:hAnsi="Palatino Linotype" w:cs="Times New Roman"/>
          <w:lang w:val="fr-FR"/>
        </w:rPr>
        <w:t>Procédures de notification des parties dans une affaire juridictionnelle ;</w:t>
      </w:r>
    </w:p>
    <w:p w14:paraId="7E244CE7" w14:textId="77777777" w:rsidR="001C2111" w:rsidRPr="00480CEF" w:rsidRDefault="001C2111" w:rsidP="00480CEF">
      <w:pPr>
        <w:widowControl/>
        <w:numPr>
          <w:ilvl w:val="0"/>
          <w:numId w:val="25"/>
        </w:numPr>
        <w:autoSpaceDE w:val="0"/>
        <w:autoSpaceDN w:val="0"/>
        <w:adjustRightInd w:val="0"/>
        <w:spacing w:after="120" w:line="240" w:lineRule="auto"/>
        <w:ind w:left="418"/>
        <w:rPr>
          <w:rFonts w:ascii="Palatino Linotype" w:eastAsia="Calibri" w:hAnsi="Palatino Linotype" w:cs="Times New Roman"/>
          <w:lang w:val="fr-FR"/>
        </w:rPr>
      </w:pPr>
      <w:r w:rsidRPr="00480CEF">
        <w:rPr>
          <w:rFonts w:ascii="Palatino Linotype" w:eastAsia="Calibri" w:hAnsi="Palatino Linotype" w:cs="Times New Roman"/>
          <w:lang w:val="fr-FR"/>
        </w:rPr>
        <w:t xml:space="preserve">Procédures de révision des décisions du Tribunal ; </w:t>
      </w:r>
    </w:p>
    <w:p w14:paraId="51A74210" w14:textId="77777777" w:rsidR="001C2111" w:rsidRPr="00480CEF" w:rsidRDefault="001C2111" w:rsidP="00480CEF">
      <w:pPr>
        <w:widowControl/>
        <w:numPr>
          <w:ilvl w:val="0"/>
          <w:numId w:val="25"/>
        </w:numPr>
        <w:autoSpaceDE w:val="0"/>
        <w:autoSpaceDN w:val="0"/>
        <w:adjustRightInd w:val="0"/>
        <w:spacing w:after="120" w:line="240" w:lineRule="auto"/>
        <w:ind w:left="418"/>
        <w:rPr>
          <w:rFonts w:ascii="Palatino Linotype" w:eastAsia="Calibri" w:hAnsi="Palatino Linotype" w:cs="Times New Roman"/>
          <w:lang w:val="fr-FR"/>
        </w:rPr>
      </w:pPr>
      <w:r w:rsidRPr="00480CEF">
        <w:rPr>
          <w:rFonts w:ascii="Palatino Linotype" w:eastAsia="Calibri" w:hAnsi="Palatino Linotype" w:cs="Times New Roman"/>
          <w:lang w:val="fr-FR"/>
        </w:rPr>
        <w:t>Organigramme opérationnel avec description de postes et de tâches ;</w:t>
      </w:r>
    </w:p>
    <w:p w14:paraId="189E3B4D" w14:textId="40C9222F" w:rsidR="001C2111" w:rsidRPr="00480CEF" w:rsidRDefault="001C2111" w:rsidP="00480CEF">
      <w:pPr>
        <w:widowControl/>
        <w:numPr>
          <w:ilvl w:val="0"/>
          <w:numId w:val="25"/>
        </w:numPr>
        <w:autoSpaceDE w:val="0"/>
        <w:autoSpaceDN w:val="0"/>
        <w:adjustRightInd w:val="0"/>
        <w:spacing w:after="120" w:line="240" w:lineRule="auto"/>
        <w:ind w:left="418"/>
        <w:rPr>
          <w:rFonts w:ascii="Palatino Linotype" w:eastAsia="Calibri" w:hAnsi="Palatino Linotype" w:cs="Times New Roman"/>
          <w:lang w:val="fr-FR"/>
        </w:rPr>
      </w:pPr>
      <w:r w:rsidRPr="00480CEF">
        <w:rPr>
          <w:rFonts w:ascii="Palatino Linotype" w:eastAsia="Calibri" w:hAnsi="Palatino Linotype" w:cs="Times New Roman"/>
          <w:lang w:val="fr-FR"/>
        </w:rPr>
        <w:t xml:space="preserve">Procédures de révision du Manuel. </w:t>
      </w:r>
    </w:p>
    <w:p w14:paraId="7F314055" w14:textId="1F7E063A" w:rsidR="00DD15DC" w:rsidRPr="00480CEF" w:rsidRDefault="00DD15DC" w:rsidP="00480CEF">
      <w:pPr>
        <w:widowControl/>
        <w:autoSpaceDE w:val="0"/>
        <w:autoSpaceDN w:val="0"/>
        <w:adjustRightInd w:val="0"/>
        <w:spacing w:after="120" w:line="240" w:lineRule="auto"/>
        <w:ind w:left="418"/>
        <w:rPr>
          <w:rFonts w:ascii="Palatino Linotype" w:eastAsia="Calibri" w:hAnsi="Palatino Linotype" w:cs="Times New Roman"/>
          <w:lang w:val="fr-FR"/>
        </w:rPr>
      </w:pPr>
    </w:p>
    <w:p w14:paraId="40C19099" w14:textId="5CD519E4" w:rsidR="00DD15DC" w:rsidRPr="00480CEF" w:rsidRDefault="00DD15DC" w:rsidP="00480CEF">
      <w:pPr>
        <w:widowControl/>
        <w:autoSpaceDE w:val="0"/>
        <w:autoSpaceDN w:val="0"/>
        <w:adjustRightInd w:val="0"/>
        <w:spacing w:after="120" w:line="240" w:lineRule="auto"/>
        <w:ind w:left="418"/>
        <w:rPr>
          <w:rFonts w:ascii="Palatino Linotype" w:eastAsia="Calibri" w:hAnsi="Palatino Linotype" w:cs="Times New Roman"/>
          <w:lang w:val="fr-FR"/>
        </w:rPr>
      </w:pPr>
    </w:p>
    <w:p w14:paraId="764F37A3" w14:textId="77777777" w:rsidR="00DD15DC" w:rsidRPr="00480CEF" w:rsidRDefault="00DD15DC" w:rsidP="00480CEF">
      <w:pPr>
        <w:widowControl/>
        <w:autoSpaceDE w:val="0"/>
        <w:autoSpaceDN w:val="0"/>
        <w:adjustRightInd w:val="0"/>
        <w:spacing w:after="120" w:line="240" w:lineRule="auto"/>
        <w:ind w:left="418"/>
        <w:rPr>
          <w:rFonts w:ascii="Palatino Linotype" w:eastAsia="Calibri" w:hAnsi="Palatino Linotype" w:cs="Times New Roman"/>
          <w:lang w:val="fr-FR"/>
        </w:rPr>
      </w:pPr>
    </w:p>
    <w:p w14:paraId="653783BF" w14:textId="77777777" w:rsidR="00DD15DC" w:rsidRPr="00480CEF" w:rsidRDefault="00DD15DC" w:rsidP="00480CEF">
      <w:pPr>
        <w:widowControl/>
        <w:numPr>
          <w:ilvl w:val="0"/>
          <w:numId w:val="24"/>
        </w:numPr>
        <w:spacing w:line="240" w:lineRule="auto"/>
        <w:ind w:left="1080"/>
        <w:jc w:val="both"/>
        <w:rPr>
          <w:rFonts w:ascii="Palatino Linotype" w:eastAsia="Calibri" w:hAnsi="Palatino Linotype" w:cs="Times New Roman"/>
          <w:b/>
          <w:lang w:val="fr-FR"/>
        </w:rPr>
      </w:pPr>
      <w:r w:rsidRPr="00480CEF">
        <w:rPr>
          <w:rFonts w:ascii="Palatino Linotype" w:eastAsia="Calibri" w:hAnsi="Palatino Linotype" w:cs="Times New Roman"/>
          <w:b/>
          <w:lang w:val="fr-FR"/>
        </w:rPr>
        <w:t xml:space="preserve">ORGANISATION ET DÉROULEMENT DES ACTIVITÉS </w:t>
      </w:r>
    </w:p>
    <w:p w14:paraId="1DC62535" w14:textId="77777777" w:rsidR="00DD15DC" w:rsidRPr="00480CEF" w:rsidRDefault="00DD15DC" w:rsidP="00480CEF">
      <w:pPr>
        <w:widowControl/>
        <w:spacing w:after="160" w:line="240" w:lineRule="auto"/>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Pour la délivrance des produits attendus de cette mission, les Experts engagés (national et international) auront pour obligations contractuelles conjointes de réaliser les différentes opérations suivantes dans un processus concerté avec les parties prenantes clés de la Cour désignées à cet effet : </w:t>
      </w:r>
    </w:p>
    <w:p w14:paraId="558E2E88" w14:textId="77777777" w:rsidR="00DD15DC" w:rsidRPr="00480CEF" w:rsidRDefault="00DD15DC" w:rsidP="00480CEF">
      <w:pPr>
        <w:widowControl/>
        <w:numPr>
          <w:ilvl w:val="0"/>
          <w:numId w:val="26"/>
        </w:numPr>
        <w:spacing w:line="240" w:lineRule="auto"/>
        <w:contextualSpacing/>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La présentation conjointe, avant la fin de la première semaine de la mission, d’un chronogramme d’activités, incluant le projet de Manuel, assorti d’approches et d’outils techniques formant le Guide méthodologique à implémenter au cours des phases de réalisation des prestations ; </w:t>
      </w:r>
    </w:p>
    <w:p w14:paraId="4A9BEDCC" w14:textId="77777777" w:rsidR="00DD15DC" w:rsidRPr="00480CEF" w:rsidRDefault="00DD15DC" w:rsidP="00480CEF">
      <w:pPr>
        <w:widowControl/>
        <w:numPr>
          <w:ilvl w:val="0"/>
          <w:numId w:val="26"/>
        </w:numPr>
        <w:spacing w:line="240" w:lineRule="auto"/>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L’élaboration, la présentation et l’explication du plan de collecte d’informations ainsi que celui de rédaction des différentes </w:t>
      </w:r>
      <w:r w:rsidRPr="00480CEF">
        <w:rPr>
          <w:rFonts w:ascii="Palatino Linotype" w:eastAsia="Calibri" w:hAnsi="Palatino Linotype" w:cs="Times New Roman"/>
          <w:b/>
          <w:lang w:val="fr-FR"/>
        </w:rPr>
        <w:t>Livres et Chapitres du Manuel</w:t>
      </w:r>
      <w:r w:rsidRPr="00480CEF">
        <w:rPr>
          <w:rFonts w:ascii="Palatino Linotype" w:eastAsia="Calibri" w:hAnsi="Palatino Linotype" w:cs="Times New Roman"/>
          <w:lang w:val="fr-FR"/>
        </w:rPr>
        <w:t xml:space="preserve"> formant les différentes dimensions à décrire et à formaliser ; </w:t>
      </w:r>
    </w:p>
    <w:p w14:paraId="5AFE9582" w14:textId="77777777" w:rsidR="00DD15DC" w:rsidRPr="00480CEF" w:rsidRDefault="00DD15DC" w:rsidP="00480CEF">
      <w:pPr>
        <w:widowControl/>
        <w:numPr>
          <w:ilvl w:val="0"/>
          <w:numId w:val="26"/>
        </w:numPr>
        <w:spacing w:after="160" w:line="240" w:lineRule="auto"/>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La collecte de données et/ou d’informations au moyen de l’observation sur le terrain du fonctionnement des entités techniques, administratives et organisationnelles, d’analyse documentaire, d’entretiens, de groupes de discussions avec les Autorités ou entités concernées ; </w:t>
      </w:r>
    </w:p>
    <w:p w14:paraId="73BA735E" w14:textId="77777777" w:rsidR="00DD15DC" w:rsidRPr="00480CEF" w:rsidRDefault="00DD15DC" w:rsidP="00480CEF">
      <w:pPr>
        <w:widowControl/>
        <w:numPr>
          <w:ilvl w:val="0"/>
          <w:numId w:val="26"/>
        </w:numPr>
        <w:spacing w:line="240" w:lineRule="auto"/>
        <w:contextualSpacing/>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La comparaison des processus pratiqués par rapport aux modes d’interactions nécessaires conformes aux dispositions légales et règlementaires en vigueur entre les différentes entités techniques, administratives et organisationnelles de la Cour et/ou avec les autres parties prenantes externes de l’institution ; </w:t>
      </w:r>
    </w:p>
    <w:p w14:paraId="52E8C081" w14:textId="77777777" w:rsidR="00DD15DC" w:rsidRPr="00480CEF" w:rsidRDefault="00DD15DC" w:rsidP="00480CEF">
      <w:pPr>
        <w:widowControl/>
        <w:numPr>
          <w:ilvl w:val="0"/>
          <w:numId w:val="26"/>
        </w:numPr>
        <w:spacing w:line="240" w:lineRule="auto"/>
        <w:contextualSpacing/>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L’analyse de la pertinence et de la cohérence des grandes courroies d’échange ou de communication des différents secteurs ou entités concernées par les activités (services) de la Cour avec elle dans le cadre de l’accomplissement de ses attributions ; </w:t>
      </w:r>
    </w:p>
    <w:p w14:paraId="462DE94F" w14:textId="77777777" w:rsidR="00DD15DC" w:rsidRPr="00480CEF" w:rsidRDefault="00DD15DC" w:rsidP="00480CEF">
      <w:pPr>
        <w:widowControl/>
        <w:numPr>
          <w:ilvl w:val="0"/>
          <w:numId w:val="26"/>
        </w:numPr>
        <w:spacing w:after="160" w:line="240" w:lineRule="auto"/>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La description des postes et tâches des différentes entités techniques, administratives et organisationnelles de la Cour au regard des missions de celle-ci ; </w:t>
      </w:r>
    </w:p>
    <w:p w14:paraId="6A5C4A5F" w14:textId="77777777" w:rsidR="00DD15DC" w:rsidRPr="00480CEF" w:rsidRDefault="00DD15DC" w:rsidP="00480CEF">
      <w:pPr>
        <w:widowControl/>
        <w:numPr>
          <w:ilvl w:val="0"/>
          <w:numId w:val="26"/>
        </w:numPr>
        <w:spacing w:after="160" w:line="240" w:lineRule="auto"/>
        <w:contextualSpacing/>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La clarification et la description du canal de communication formel entre les usagers des services de la Cour avec elle, ainsi que du type de relations entre les différentes parties prenantes internes de l’institution ; </w:t>
      </w:r>
    </w:p>
    <w:p w14:paraId="719E1412" w14:textId="77777777" w:rsidR="00DD15DC" w:rsidRPr="00480CEF" w:rsidRDefault="00DD15DC" w:rsidP="00480CEF">
      <w:pPr>
        <w:widowControl/>
        <w:numPr>
          <w:ilvl w:val="0"/>
          <w:numId w:val="26"/>
        </w:numPr>
        <w:spacing w:after="160" w:line="240" w:lineRule="auto"/>
        <w:contextualSpacing/>
        <w:jc w:val="both"/>
        <w:rPr>
          <w:rFonts w:ascii="Palatino Linotype" w:eastAsia="Calibri" w:hAnsi="Palatino Linotype" w:cs="Times New Roman"/>
          <w:lang w:val="fr-FR"/>
        </w:rPr>
      </w:pPr>
      <w:r w:rsidRPr="00480CEF">
        <w:rPr>
          <w:rFonts w:ascii="Palatino Linotype" w:eastAsia="Calibri" w:hAnsi="Palatino Linotype" w:cs="Times New Roman"/>
          <w:lang w:val="fr-FR"/>
        </w:rPr>
        <w:t>La réalisation des confirmations de tâches ou d’activités des différentes entités techniques, administratives et organisationnelles de la Cour, incluant celles de leurs responsables respectifs ;</w:t>
      </w:r>
    </w:p>
    <w:p w14:paraId="5874F684" w14:textId="77777777" w:rsidR="00DD15DC" w:rsidRPr="00480CEF" w:rsidRDefault="00DD15DC" w:rsidP="00480CEF">
      <w:pPr>
        <w:widowControl/>
        <w:numPr>
          <w:ilvl w:val="0"/>
          <w:numId w:val="26"/>
        </w:numPr>
        <w:spacing w:after="160" w:line="240" w:lineRule="auto"/>
        <w:contextualSpacing/>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La mise en cohérence et en conformité des propositions de description de fonctions et de tâches à la Cour avec les dispositions légales et règlementaires nationales en vigueur ; </w:t>
      </w:r>
    </w:p>
    <w:p w14:paraId="1A220916" w14:textId="77777777" w:rsidR="00DD15DC" w:rsidRPr="00480CEF" w:rsidRDefault="00DD15DC" w:rsidP="00480CEF">
      <w:pPr>
        <w:widowControl/>
        <w:numPr>
          <w:ilvl w:val="0"/>
          <w:numId w:val="26"/>
        </w:numPr>
        <w:spacing w:after="160" w:line="240" w:lineRule="auto"/>
        <w:jc w:val="both"/>
        <w:rPr>
          <w:rFonts w:ascii="Palatino Linotype" w:eastAsia="Calibri" w:hAnsi="Palatino Linotype" w:cs="Times New Roman"/>
          <w:lang w:val="fr-FR"/>
        </w:rPr>
      </w:pPr>
      <w:r w:rsidRPr="00480CEF">
        <w:rPr>
          <w:rFonts w:ascii="Palatino Linotype" w:eastAsia="Calibri" w:hAnsi="Palatino Linotype" w:cs="Times New Roman"/>
          <w:lang w:val="fr-FR"/>
        </w:rPr>
        <w:t>La communication conjointe des propositions de procédures aménagées après concertation sur les points d’innovation, de standardisation, de légalité et de conformité avec</w:t>
      </w:r>
      <w:r w:rsidRPr="00480CEF">
        <w:rPr>
          <w:rFonts w:ascii="Palatino Linotype" w:eastAsia="Calibri" w:hAnsi="Palatino Linotype" w:cs="Times New Roman"/>
          <w:b/>
          <w:lang w:val="fr-FR"/>
        </w:rPr>
        <w:t xml:space="preserve"> </w:t>
      </w:r>
      <w:r w:rsidRPr="00480CEF">
        <w:rPr>
          <w:rFonts w:ascii="Palatino Linotype" w:eastAsia="Calibri" w:hAnsi="Palatino Linotype" w:cs="Times New Roman"/>
          <w:lang w:val="fr-FR"/>
        </w:rPr>
        <w:t>les dispositions légales et règlementaires nationales en vigueur</w:t>
      </w:r>
      <w:r w:rsidRPr="00480CEF">
        <w:rPr>
          <w:rFonts w:ascii="Palatino Linotype" w:eastAsia="Calibri" w:hAnsi="Palatino Linotype" w:cs="Times New Roman"/>
          <w:b/>
          <w:lang w:val="fr-FR"/>
        </w:rPr>
        <w:t xml:space="preserve"> ;</w:t>
      </w:r>
      <w:r w:rsidRPr="00480CEF">
        <w:rPr>
          <w:rFonts w:ascii="Palatino Linotype" w:eastAsia="Calibri" w:hAnsi="Palatino Linotype" w:cs="Times New Roman"/>
          <w:lang w:val="fr-FR"/>
        </w:rPr>
        <w:t xml:space="preserve">  </w:t>
      </w:r>
    </w:p>
    <w:p w14:paraId="26C35062" w14:textId="77777777" w:rsidR="00DD15DC" w:rsidRPr="00480CEF" w:rsidRDefault="00DD15DC" w:rsidP="00480CEF">
      <w:pPr>
        <w:widowControl/>
        <w:numPr>
          <w:ilvl w:val="0"/>
          <w:numId w:val="26"/>
        </w:numPr>
        <w:spacing w:after="160" w:line="240" w:lineRule="auto"/>
        <w:contextualSpacing/>
        <w:jc w:val="both"/>
        <w:rPr>
          <w:rFonts w:ascii="Palatino Linotype" w:eastAsia="Calibri" w:hAnsi="Palatino Linotype" w:cs="Times New Roman"/>
          <w:bCs/>
          <w:iCs/>
          <w:lang w:val="fr-FR"/>
        </w:rPr>
      </w:pPr>
      <w:r w:rsidRPr="00480CEF">
        <w:rPr>
          <w:rFonts w:ascii="Palatino Linotype" w:eastAsia="Calibri" w:hAnsi="Palatino Linotype" w:cs="Times New Roman"/>
          <w:bCs/>
          <w:iCs/>
          <w:lang w:val="fr-FR"/>
        </w:rPr>
        <w:lastRenderedPageBreak/>
        <w:t>L’Expert national jouera le rôle de Chef d’équipe pour conduire et coordonner toutes les opérations administratives nécessaires au bon déroulement de la mission aux fins de rapport au Conseil. Il assure, ensemble de concert avec l’Expert international</w:t>
      </w:r>
      <w:r w:rsidRPr="00480CEF">
        <w:rPr>
          <w:rFonts w:ascii="Palatino Linotype" w:eastAsia="Calibri" w:hAnsi="Palatino Linotype" w:cs="Times New Roman"/>
          <w:bCs/>
          <w:iCs/>
          <w:strike/>
          <w:lang w:val="fr-FR"/>
        </w:rPr>
        <w:t>,</w:t>
      </w:r>
      <w:r w:rsidRPr="00480CEF">
        <w:rPr>
          <w:rFonts w:ascii="Palatino Linotype" w:eastAsia="Calibri" w:hAnsi="Palatino Linotype" w:cs="Times New Roman"/>
          <w:bCs/>
          <w:iCs/>
          <w:lang w:val="fr-FR"/>
        </w:rPr>
        <w:t xml:space="preserve"> la mise en commun et en cohérence des livrables - propositions de procédures à soumettre ainsi que des rapports d’étapes et définitifs. </w:t>
      </w:r>
    </w:p>
    <w:p w14:paraId="645A4BA5" w14:textId="5D750D1F" w:rsidR="00DD15DC" w:rsidRPr="00480CEF" w:rsidRDefault="00DD15DC" w:rsidP="00480CEF">
      <w:pPr>
        <w:widowControl/>
        <w:spacing w:after="160" w:line="240" w:lineRule="auto"/>
        <w:jc w:val="both"/>
        <w:rPr>
          <w:rFonts w:ascii="Palatino Linotype" w:eastAsia="Calibri" w:hAnsi="Palatino Linotype" w:cs="Times New Roman"/>
          <w:lang w:val="fr-FR"/>
        </w:rPr>
      </w:pPr>
    </w:p>
    <w:p w14:paraId="3BE3CBFE" w14:textId="77777777" w:rsidR="00DD15DC" w:rsidRPr="00480CEF" w:rsidRDefault="00DD15DC" w:rsidP="00480CEF">
      <w:pPr>
        <w:widowControl/>
        <w:numPr>
          <w:ilvl w:val="0"/>
          <w:numId w:val="24"/>
        </w:numPr>
        <w:spacing w:line="240" w:lineRule="auto"/>
        <w:ind w:left="1080"/>
        <w:jc w:val="both"/>
        <w:rPr>
          <w:rFonts w:ascii="Palatino Linotype" w:eastAsia="Calibri" w:hAnsi="Palatino Linotype" w:cs="Times New Roman"/>
          <w:b/>
          <w:lang w:val="fr-FR"/>
        </w:rPr>
      </w:pPr>
      <w:r w:rsidRPr="00480CEF">
        <w:rPr>
          <w:rFonts w:ascii="Palatino Linotype" w:eastAsia="Calibri" w:hAnsi="Palatino Linotype" w:cs="Times New Roman"/>
          <w:b/>
          <w:lang w:val="fr-FR"/>
        </w:rPr>
        <w:t>RÉSULTATS ATTENDUS DE LA MISSION</w:t>
      </w:r>
    </w:p>
    <w:p w14:paraId="2D15B301" w14:textId="77777777" w:rsidR="00DD15DC" w:rsidRPr="00480CEF" w:rsidRDefault="00DD15DC" w:rsidP="00480CEF">
      <w:pPr>
        <w:widowControl/>
        <w:spacing w:after="160" w:line="240" w:lineRule="auto"/>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Au titre d’actions de mise en œuvre de cette mission, les Experts, en ce qui a trait à leurs responsabilités contractuelles, doivent constamment réaliser des échanges entre eux et avec les Membres du Conseils et toutes autres parties prenantes internes concernées à la Cour.   </w:t>
      </w:r>
    </w:p>
    <w:p w14:paraId="3480FE23" w14:textId="77777777" w:rsidR="00DD15DC" w:rsidRPr="00480CEF" w:rsidRDefault="00DD15DC" w:rsidP="00480CEF">
      <w:pPr>
        <w:widowControl/>
        <w:spacing w:after="160" w:line="240" w:lineRule="auto"/>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Ces travaux à exécuter conjointement par les deux Experts concernés englobent les éléments suivants dans le cadre de leur mission. A noter que « DT » est utilisé dans le Tableau ci-après pour représenter le </w:t>
      </w:r>
      <w:r w:rsidRPr="00480CEF">
        <w:rPr>
          <w:rFonts w:ascii="Palatino Linotype" w:eastAsia="Calibri" w:hAnsi="Palatino Linotype" w:cs="Times New Roman"/>
          <w:b/>
          <w:lang w:val="fr-FR"/>
        </w:rPr>
        <w:t>Délai Total</w:t>
      </w:r>
      <w:r w:rsidRPr="00480CEF">
        <w:rPr>
          <w:rFonts w:ascii="Palatino Linotype" w:eastAsia="Calibri" w:hAnsi="Palatino Linotype" w:cs="Times New Roman"/>
          <w:lang w:val="fr-FR"/>
        </w:rPr>
        <w:t xml:space="preserve"> (DT) incorporant la durée d’action accordée aux Experts et celle laissée à la Cour pour réactions. </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7"/>
        <w:gridCol w:w="2611"/>
        <w:gridCol w:w="3062"/>
      </w:tblGrid>
      <w:tr w:rsidR="00DD15DC" w:rsidRPr="00480CEF" w14:paraId="260B5081" w14:textId="77777777" w:rsidTr="00DD15DC">
        <w:tc>
          <w:tcPr>
            <w:tcW w:w="3475" w:type="dxa"/>
            <w:tcBorders>
              <w:top w:val="single" w:sz="4" w:space="0" w:color="auto"/>
              <w:left w:val="single" w:sz="4" w:space="0" w:color="auto"/>
              <w:bottom w:val="single" w:sz="4" w:space="0" w:color="auto"/>
              <w:right w:val="single" w:sz="4" w:space="0" w:color="auto"/>
            </w:tcBorders>
            <w:shd w:val="clear" w:color="auto" w:fill="BDD6EE"/>
            <w:hideMark/>
          </w:tcPr>
          <w:p w14:paraId="53A25736" w14:textId="77777777" w:rsidR="00DD15DC" w:rsidRPr="00480CEF" w:rsidRDefault="00DD15DC" w:rsidP="00480CEF">
            <w:pPr>
              <w:spacing w:line="240" w:lineRule="auto"/>
              <w:ind w:left="1080"/>
              <w:contextualSpacing/>
              <w:jc w:val="both"/>
              <w:rPr>
                <w:rFonts w:ascii="Palatino Linotype" w:hAnsi="Palatino Linotype"/>
                <w:b/>
                <w:lang w:val="fr-FR"/>
              </w:rPr>
            </w:pPr>
            <w:r w:rsidRPr="00480CEF">
              <w:rPr>
                <w:rFonts w:ascii="Palatino Linotype" w:hAnsi="Palatino Linotype"/>
                <w:b/>
                <w:lang w:val="fr-FR"/>
              </w:rPr>
              <w:t>Produits/Activités</w:t>
            </w:r>
          </w:p>
        </w:tc>
        <w:tc>
          <w:tcPr>
            <w:tcW w:w="2610" w:type="dxa"/>
            <w:tcBorders>
              <w:top w:val="single" w:sz="4" w:space="0" w:color="auto"/>
              <w:left w:val="single" w:sz="4" w:space="0" w:color="auto"/>
              <w:bottom w:val="single" w:sz="4" w:space="0" w:color="auto"/>
              <w:right w:val="single" w:sz="4" w:space="0" w:color="auto"/>
            </w:tcBorders>
            <w:shd w:val="clear" w:color="auto" w:fill="BDD6EE"/>
            <w:hideMark/>
          </w:tcPr>
          <w:p w14:paraId="15F88BEF" w14:textId="77777777" w:rsidR="00DD15DC" w:rsidRPr="00480CEF" w:rsidRDefault="00DD15DC" w:rsidP="00480CEF">
            <w:pPr>
              <w:spacing w:line="240" w:lineRule="auto"/>
              <w:ind w:left="294"/>
              <w:contextualSpacing/>
              <w:jc w:val="both"/>
              <w:rPr>
                <w:rFonts w:ascii="Palatino Linotype" w:hAnsi="Palatino Linotype"/>
                <w:b/>
                <w:lang w:val="fr-FR"/>
              </w:rPr>
            </w:pPr>
            <w:r w:rsidRPr="00480CEF">
              <w:rPr>
                <w:rFonts w:ascii="Palatino Linotype" w:hAnsi="Palatino Linotype"/>
                <w:b/>
                <w:lang w:val="fr-FR"/>
              </w:rPr>
              <w:t>Délai de production des livrables</w:t>
            </w:r>
          </w:p>
        </w:tc>
        <w:tc>
          <w:tcPr>
            <w:tcW w:w="3060" w:type="dxa"/>
            <w:tcBorders>
              <w:top w:val="single" w:sz="4" w:space="0" w:color="auto"/>
              <w:left w:val="single" w:sz="4" w:space="0" w:color="auto"/>
              <w:bottom w:val="single" w:sz="4" w:space="0" w:color="auto"/>
              <w:right w:val="single" w:sz="4" w:space="0" w:color="auto"/>
            </w:tcBorders>
            <w:shd w:val="clear" w:color="auto" w:fill="BDD6EE"/>
            <w:hideMark/>
          </w:tcPr>
          <w:p w14:paraId="7B1D1714" w14:textId="77777777" w:rsidR="00DD15DC" w:rsidRPr="00480CEF" w:rsidRDefault="00DD15DC" w:rsidP="00480CEF">
            <w:pPr>
              <w:spacing w:line="240" w:lineRule="auto"/>
              <w:ind w:left="294"/>
              <w:contextualSpacing/>
              <w:jc w:val="both"/>
              <w:rPr>
                <w:rFonts w:ascii="Palatino Linotype" w:hAnsi="Palatino Linotype"/>
                <w:b/>
                <w:lang w:val="fr-FR"/>
              </w:rPr>
            </w:pPr>
            <w:r w:rsidRPr="00480CEF">
              <w:rPr>
                <w:rFonts w:ascii="Palatino Linotype" w:hAnsi="Palatino Linotype"/>
                <w:b/>
                <w:lang w:val="fr-FR"/>
              </w:rPr>
              <w:t>Délai de retour sur livrables</w:t>
            </w:r>
          </w:p>
        </w:tc>
      </w:tr>
      <w:tr w:rsidR="00DD15DC" w:rsidRPr="00480CEF" w14:paraId="51FFC247" w14:textId="77777777" w:rsidTr="00DD15DC">
        <w:tc>
          <w:tcPr>
            <w:tcW w:w="3475" w:type="dxa"/>
            <w:tcBorders>
              <w:top w:val="single" w:sz="4" w:space="0" w:color="auto"/>
              <w:left w:val="single" w:sz="4" w:space="0" w:color="auto"/>
              <w:bottom w:val="single" w:sz="4" w:space="0" w:color="auto"/>
              <w:right w:val="single" w:sz="4" w:space="0" w:color="auto"/>
            </w:tcBorders>
            <w:hideMark/>
          </w:tcPr>
          <w:p w14:paraId="1B1C309E" w14:textId="77777777" w:rsidR="00DD15DC" w:rsidRPr="00480CEF" w:rsidRDefault="00DD15DC" w:rsidP="00480CEF">
            <w:pPr>
              <w:spacing w:line="240" w:lineRule="auto"/>
              <w:jc w:val="both"/>
              <w:rPr>
                <w:rFonts w:ascii="Palatino Linotype" w:hAnsi="Palatino Linotype"/>
                <w:i/>
                <w:lang w:val="fr-FR"/>
              </w:rPr>
            </w:pPr>
            <w:r w:rsidRPr="00480CEF">
              <w:rPr>
                <w:rFonts w:ascii="Palatino Linotype" w:hAnsi="Palatino Linotype"/>
                <w:i/>
                <w:lang w:val="fr-FR"/>
              </w:rPr>
              <w:t xml:space="preserve">a) Compte Rendu de la réunion de clarification et de cadrage de la mission d’intervention avec les parties prenantes </w:t>
            </w:r>
          </w:p>
        </w:tc>
        <w:tc>
          <w:tcPr>
            <w:tcW w:w="2610" w:type="dxa"/>
            <w:tcBorders>
              <w:top w:val="single" w:sz="4" w:space="0" w:color="auto"/>
              <w:left w:val="single" w:sz="4" w:space="0" w:color="auto"/>
              <w:bottom w:val="single" w:sz="4" w:space="0" w:color="auto"/>
              <w:right w:val="single" w:sz="4" w:space="0" w:color="auto"/>
            </w:tcBorders>
            <w:hideMark/>
          </w:tcPr>
          <w:p w14:paraId="2381E961" w14:textId="77777777" w:rsidR="00DD15DC" w:rsidRPr="00480CEF" w:rsidRDefault="00DD15DC" w:rsidP="00480CEF">
            <w:pPr>
              <w:spacing w:line="240" w:lineRule="auto"/>
              <w:jc w:val="both"/>
              <w:rPr>
                <w:rFonts w:ascii="Palatino Linotype" w:hAnsi="Palatino Linotype"/>
                <w:i/>
                <w:lang w:val="fr-FR"/>
              </w:rPr>
            </w:pPr>
            <w:r w:rsidRPr="00480CEF">
              <w:rPr>
                <w:rFonts w:ascii="Palatino Linotype" w:hAnsi="Palatino Linotype"/>
                <w:i/>
                <w:lang w:val="fr-FR"/>
              </w:rPr>
              <w:t>Au 3</w:t>
            </w:r>
            <w:r w:rsidRPr="00480CEF">
              <w:rPr>
                <w:rFonts w:ascii="Palatino Linotype" w:hAnsi="Palatino Linotype"/>
                <w:i/>
                <w:vertAlign w:val="superscript"/>
                <w:lang w:val="fr-FR"/>
              </w:rPr>
              <w:t>ème</w:t>
            </w:r>
            <w:r w:rsidRPr="00480CEF">
              <w:rPr>
                <w:rFonts w:ascii="Palatino Linotype" w:hAnsi="Palatino Linotype"/>
                <w:i/>
                <w:lang w:val="fr-FR"/>
              </w:rPr>
              <w:t xml:space="preserve"> jour ouvré après la tenue de la réunion de clarification et de cadrage de la mission </w:t>
            </w:r>
          </w:p>
          <w:p w14:paraId="49E2E8C2" w14:textId="77777777" w:rsidR="00DD15DC" w:rsidRPr="00480CEF" w:rsidRDefault="00DD15DC" w:rsidP="00480CEF">
            <w:pPr>
              <w:spacing w:line="240" w:lineRule="auto"/>
              <w:ind w:left="294"/>
              <w:contextualSpacing/>
              <w:jc w:val="both"/>
              <w:rPr>
                <w:rFonts w:ascii="Palatino Linotype" w:hAnsi="Palatino Linotype"/>
                <w:lang w:val="fr-FR"/>
              </w:rPr>
            </w:pPr>
            <w:r w:rsidRPr="00480CEF">
              <w:rPr>
                <w:rFonts w:ascii="Palatino Linotype" w:hAnsi="Palatino Linotype"/>
                <w:b/>
                <w:lang w:val="fr-FR"/>
              </w:rPr>
              <w:t xml:space="preserve">DT= 3 jours </w:t>
            </w:r>
          </w:p>
        </w:tc>
        <w:tc>
          <w:tcPr>
            <w:tcW w:w="3060" w:type="dxa"/>
            <w:tcBorders>
              <w:top w:val="single" w:sz="4" w:space="0" w:color="auto"/>
              <w:left w:val="single" w:sz="4" w:space="0" w:color="auto"/>
              <w:bottom w:val="single" w:sz="4" w:space="0" w:color="auto"/>
              <w:right w:val="single" w:sz="4" w:space="0" w:color="auto"/>
            </w:tcBorders>
            <w:hideMark/>
          </w:tcPr>
          <w:p w14:paraId="21082EFF" w14:textId="77777777" w:rsidR="00DD15DC" w:rsidRPr="00480CEF" w:rsidRDefault="00DD15DC" w:rsidP="00480CEF">
            <w:pPr>
              <w:spacing w:line="240" w:lineRule="auto"/>
              <w:jc w:val="both"/>
              <w:rPr>
                <w:rFonts w:ascii="Palatino Linotype" w:hAnsi="Palatino Linotype"/>
                <w:i/>
                <w:lang w:val="fr-FR"/>
              </w:rPr>
            </w:pPr>
            <w:r w:rsidRPr="00480CEF">
              <w:rPr>
                <w:rFonts w:ascii="Palatino Linotype" w:hAnsi="Palatino Linotype"/>
                <w:i/>
                <w:lang w:val="fr-FR"/>
              </w:rPr>
              <w:t>Dans l’intervalle, la Cour confirmera la tenue des rencontres d’échanges avec les parties prenantes internes impliquées</w:t>
            </w:r>
          </w:p>
        </w:tc>
      </w:tr>
      <w:tr w:rsidR="00DD15DC" w:rsidRPr="00480CEF" w14:paraId="5DBD47B8" w14:textId="77777777" w:rsidTr="00DD15DC">
        <w:tc>
          <w:tcPr>
            <w:tcW w:w="3475" w:type="dxa"/>
            <w:tcBorders>
              <w:top w:val="single" w:sz="4" w:space="0" w:color="auto"/>
              <w:left w:val="single" w:sz="4" w:space="0" w:color="auto"/>
              <w:bottom w:val="single" w:sz="4" w:space="0" w:color="auto"/>
              <w:right w:val="single" w:sz="4" w:space="0" w:color="auto"/>
            </w:tcBorders>
            <w:hideMark/>
          </w:tcPr>
          <w:p w14:paraId="5BCD0F3C" w14:textId="77777777" w:rsidR="00DD15DC" w:rsidRPr="00480CEF" w:rsidRDefault="00DD15DC" w:rsidP="00480CEF">
            <w:pPr>
              <w:spacing w:line="240" w:lineRule="auto"/>
              <w:jc w:val="both"/>
              <w:rPr>
                <w:rFonts w:ascii="Palatino Linotype" w:hAnsi="Palatino Linotype"/>
                <w:i/>
                <w:lang w:val="fr-FR"/>
              </w:rPr>
            </w:pPr>
            <w:r w:rsidRPr="00480CEF">
              <w:rPr>
                <w:rFonts w:ascii="Palatino Linotype" w:hAnsi="Palatino Linotype"/>
                <w:i/>
                <w:lang w:val="fr-FR"/>
              </w:rPr>
              <w:t>b) Communiquer, à l’issue des échanges avec les parties prenantes clés de la Cour, au Conseil via le Bureau, les principaux constats ou les observations critiques des mécanismes de contrôle interne en place au regard des contextes d’évolution et de changements substantiels nécessaires à opérer à l’institution pour assurer l’accomplissement de ses différentes attributions</w:t>
            </w:r>
          </w:p>
          <w:p w14:paraId="64CE4AC9" w14:textId="77777777" w:rsidR="00DD15DC" w:rsidRPr="00480CEF" w:rsidRDefault="00DD15DC" w:rsidP="00480CEF">
            <w:pPr>
              <w:spacing w:line="240" w:lineRule="auto"/>
              <w:jc w:val="both"/>
              <w:rPr>
                <w:rFonts w:ascii="Palatino Linotype" w:hAnsi="Palatino Linotype"/>
                <w:i/>
                <w:lang w:val="fr-FR"/>
              </w:rPr>
            </w:pPr>
            <w:r w:rsidRPr="00480CEF">
              <w:rPr>
                <w:rFonts w:ascii="Palatino Linotype" w:hAnsi="Palatino Linotype"/>
                <w:i/>
                <w:lang w:val="fr-FR"/>
              </w:rPr>
              <w:t xml:space="preserve">c)Élaborer et soumettre, pour avis, au Conseil de la Cour le projet de Guide méthodologique de travail présentant les processus de recueil, d’analyse, de traitement des données nécessaires à l’exécution de la mission et </w:t>
            </w:r>
            <w:r w:rsidRPr="00480CEF">
              <w:rPr>
                <w:rFonts w:ascii="Palatino Linotype" w:hAnsi="Palatino Linotype"/>
                <w:i/>
                <w:lang w:val="fr-FR"/>
              </w:rPr>
              <w:lastRenderedPageBreak/>
              <w:t>d’élaboration du Manuel</w:t>
            </w:r>
          </w:p>
        </w:tc>
        <w:tc>
          <w:tcPr>
            <w:tcW w:w="2610" w:type="dxa"/>
            <w:tcBorders>
              <w:top w:val="single" w:sz="4" w:space="0" w:color="auto"/>
              <w:left w:val="single" w:sz="4" w:space="0" w:color="auto"/>
              <w:bottom w:val="single" w:sz="4" w:space="0" w:color="auto"/>
              <w:right w:val="single" w:sz="4" w:space="0" w:color="auto"/>
            </w:tcBorders>
            <w:hideMark/>
          </w:tcPr>
          <w:p w14:paraId="5917E0A0" w14:textId="77777777" w:rsidR="00DD15DC" w:rsidRPr="00480CEF" w:rsidRDefault="00DD15DC" w:rsidP="00480CEF">
            <w:pPr>
              <w:spacing w:line="240" w:lineRule="auto"/>
              <w:jc w:val="both"/>
              <w:rPr>
                <w:rFonts w:ascii="Palatino Linotype" w:hAnsi="Palatino Linotype"/>
                <w:i/>
                <w:lang w:val="fr-FR"/>
              </w:rPr>
            </w:pPr>
            <w:r w:rsidRPr="00480CEF">
              <w:rPr>
                <w:rFonts w:ascii="Palatino Linotype" w:hAnsi="Palatino Linotype"/>
                <w:i/>
                <w:lang w:val="fr-FR"/>
              </w:rPr>
              <w:lastRenderedPageBreak/>
              <w:t>Sept (7) jours calendaires après la tenue de la réunion de clarification et de cadrage et l’analyse documentaire (cadre normatif et administratif) en a)</w:t>
            </w:r>
          </w:p>
          <w:p w14:paraId="041151A4" w14:textId="77777777" w:rsidR="00DD15DC" w:rsidRPr="00480CEF" w:rsidRDefault="00DD15DC" w:rsidP="00480CEF">
            <w:pPr>
              <w:spacing w:line="240" w:lineRule="auto"/>
              <w:jc w:val="both"/>
              <w:rPr>
                <w:rFonts w:ascii="Palatino Linotype" w:hAnsi="Palatino Linotype"/>
                <w:i/>
                <w:lang w:val="fr-FR"/>
              </w:rPr>
            </w:pPr>
            <w:r w:rsidRPr="00480CEF">
              <w:rPr>
                <w:rFonts w:ascii="Palatino Linotype" w:hAnsi="Palatino Linotype"/>
                <w:b/>
                <w:lang w:val="fr-FR"/>
              </w:rPr>
              <w:t>DT = 10 jours</w:t>
            </w:r>
          </w:p>
        </w:tc>
        <w:tc>
          <w:tcPr>
            <w:tcW w:w="3060" w:type="dxa"/>
            <w:tcBorders>
              <w:top w:val="single" w:sz="4" w:space="0" w:color="auto"/>
              <w:left w:val="single" w:sz="4" w:space="0" w:color="auto"/>
              <w:bottom w:val="single" w:sz="4" w:space="0" w:color="auto"/>
              <w:right w:val="single" w:sz="4" w:space="0" w:color="auto"/>
            </w:tcBorders>
          </w:tcPr>
          <w:p w14:paraId="2775A931" w14:textId="77777777" w:rsidR="00DD15DC" w:rsidRPr="00480CEF" w:rsidRDefault="00DD15DC" w:rsidP="00480CEF">
            <w:pPr>
              <w:spacing w:line="240" w:lineRule="auto"/>
              <w:jc w:val="both"/>
              <w:rPr>
                <w:rFonts w:ascii="Palatino Linotype" w:hAnsi="Palatino Linotype"/>
                <w:i/>
                <w:lang w:val="fr-FR"/>
              </w:rPr>
            </w:pPr>
            <w:r w:rsidRPr="00480CEF">
              <w:rPr>
                <w:rFonts w:ascii="Palatino Linotype" w:hAnsi="Palatino Linotype"/>
                <w:i/>
                <w:lang w:val="fr-FR"/>
              </w:rPr>
              <w:t>Trois (3) jours à la Cour pour produire et faire connaitre ses remarques sur b et c)</w:t>
            </w:r>
          </w:p>
          <w:p w14:paraId="67E88182" w14:textId="77777777" w:rsidR="00DD15DC" w:rsidRPr="00480CEF" w:rsidRDefault="00DD15DC" w:rsidP="00480CEF">
            <w:pPr>
              <w:spacing w:line="240" w:lineRule="auto"/>
              <w:ind w:left="294"/>
              <w:contextualSpacing/>
              <w:jc w:val="both"/>
              <w:rPr>
                <w:rFonts w:ascii="Palatino Linotype" w:hAnsi="Palatino Linotype"/>
                <w:i/>
                <w:lang w:val="fr-FR"/>
              </w:rPr>
            </w:pPr>
          </w:p>
        </w:tc>
      </w:tr>
      <w:tr w:rsidR="00DD15DC" w:rsidRPr="00480CEF" w14:paraId="2A4752B5" w14:textId="77777777" w:rsidTr="00DD15DC">
        <w:tc>
          <w:tcPr>
            <w:tcW w:w="3475" w:type="dxa"/>
            <w:tcBorders>
              <w:top w:val="single" w:sz="4" w:space="0" w:color="auto"/>
              <w:left w:val="single" w:sz="4" w:space="0" w:color="auto"/>
              <w:bottom w:val="single" w:sz="4" w:space="0" w:color="auto"/>
              <w:right w:val="single" w:sz="4" w:space="0" w:color="auto"/>
            </w:tcBorders>
            <w:hideMark/>
          </w:tcPr>
          <w:p w14:paraId="41754279" w14:textId="77777777" w:rsidR="00DD15DC" w:rsidRPr="00480CEF" w:rsidRDefault="00DD15DC" w:rsidP="00480CEF">
            <w:pPr>
              <w:spacing w:line="240" w:lineRule="auto"/>
              <w:jc w:val="both"/>
              <w:rPr>
                <w:rFonts w:ascii="Palatino Linotype" w:hAnsi="Palatino Linotype"/>
                <w:i/>
                <w:lang w:val="fr-FR"/>
              </w:rPr>
            </w:pPr>
            <w:r w:rsidRPr="00480CEF">
              <w:rPr>
                <w:rFonts w:ascii="Palatino Linotype" w:hAnsi="Palatino Linotype"/>
                <w:i/>
                <w:lang w:val="fr-FR"/>
              </w:rPr>
              <w:t>d)Finaliser les dispositifs méthodologiques et les soumettre au Conseil pour avis</w:t>
            </w:r>
          </w:p>
        </w:tc>
        <w:tc>
          <w:tcPr>
            <w:tcW w:w="2610" w:type="dxa"/>
            <w:tcBorders>
              <w:top w:val="single" w:sz="4" w:space="0" w:color="auto"/>
              <w:left w:val="single" w:sz="4" w:space="0" w:color="auto"/>
              <w:bottom w:val="single" w:sz="4" w:space="0" w:color="auto"/>
              <w:right w:val="single" w:sz="4" w:space="0" w:color="auto"/>
            </w:tcBorders>
            <w:hideMark/>
          </w:tcPr>
          <w:p w14:paraId="4A83F39F" w14:textId="77777777" w:rsidR="00DD15DC" w:rsidRPr="00480CEF" w:rsidRDefault="00DD15DC" w:rsidP="00480CEF">
            <w:pPr>
              <w:spacing w:line="240" w:lineRule="auto"/>
              <w:jc w:val="both"/>
              <w:rPr>
                <w:rFonts w:ascii="Palatino Linotype" w:hAnsi="Palatino Linotype"/>
                <w:i/>
                <w:lang w:val="fr-FR"/>
              </w:rPr>
            </w:pPr>
            <w:r w:rsidRPr="00480CEF">
              <w:rPr>
                <w:rFonts w:ascii="Palatino Linotype" w:hAnsi="Palatino Linotype"/>
                <w:i/>
                <w:lang w:val="fr-FR"/>
              </w:rPr>
              <w:t>Cinq (5) jours calendaires à partir de la date de réception des commentaires de la Cour sur le projet de Guide livré en c)</w:t>
            </w:r>
          </w:p>
          <w:p w14:paraId="43260888" w14:textId="77777777" w:rsidR="00DD15DC" w:rsidRPr="00480CEF" w:rsidRDefault="00DD15DC" w:rsidP="00480CEF">
            <w:pPr>
              <w:spacing w:line="240" w:lineRule="auto"/>
              <w:jc w:val="both"/>
              <w:rPr>
                <w:rFonts w:ascii="Palatino Linotype" w:hAnsi="Palatino Linotype"/>
                <w:b/>
                <w:i/>
                <w:lang w:val="fr-FR"/>
              </w:rPr>
            </w:pPr>
            <w:r w:rsidRPr="00480CEF">
              <w:rPr>
                <w:rFonts w:ascii="Palatino Linotype" w:hAnsi="Palatino Linotype"/>
                <w:b/>
                <w:i/>
                <w:lang w:val="fr-FR"/>
              </w:rPr>
              <w:t xml:space="preserve">DT= 7 jours </w:t>
            </w:r>
          </w:p>
        </w:tc>
        <w:tc>
          <w:tcPr>
            <w:tcW w:w="3060" w:type="dxa"/>
            <w:tcBorders>
              <w:top w:val="single" w:sz="4" w:space="0" w:color="auto"/>
              <w:left w:val="single" w:sz="4" w:space="0" w:color="auto"/>
              <w:bottom w:val="single" w:sz="4" w:space="0" w:color="auto"/>
              <w:right w:val="single" w:sz="4" w:space="0" w:color="auto"/>
            </w:tcBorders>
            <w:hideMark/>
          </w:tcPr>
          <w:p w14:paraId="25222738" w14:textId="77777777" w:rsidR="00DD15DC" w:rsidRPr="00480CEF" w:rsidRDefault="00DD15DC" w:rsidP="00480CEF">
            <w:pPr>
              <w:spacing w:line="240" w:lineRule="auto"/>
              <w:jc w:val="both"/>
              <w:rPr>
                <w:rFonts w:ascii="Palatino Linotype" w:hAnsi="Palatino Linotype"/>
                <w:i/>
                <w:lang w:val="fr-FR"/>
              </w:rPr>
            </w:pPr>
            <w:r w:rsidRPr="00480CEF">
              <w:rPr>
                <w:rFonts w:ascii="Palatino Linotype" w:hAnsi="Palatino Linotype"/>
                <w:i/>
                <w:lang w:val="fr-FR"/>
              </w:rPr>
              <w:t xml:space="preserve">Deux (2) jours à la Cour pour produire et communiquer ses commentaires finals d’autorisation de poursuite sur d) </w:t>
            </w:r>
          </w:p>
        </w:tc>
      </w:tr>
      <w:tr w:rsidR="00DD15DC" w:rsidRPr="00480CEF" w14:paraId="07D271AA" w14:textId="77777777" w:rsidTr="00DD15DC">
        <w:tc>
          <w:tcPr>
            <w:tcW w:w="3475" w:type="dxa"/>
            <w:tcBorders>
              <w:top w:val="single" w:sz="4" w:space="0" w:color="auto"/>
              <w:left w:val="single" w:sz="4" w:space="0" w:color="auto"/>
              <w:bottom w:val="single" w:sz="4" w:space="0" w:color="auto"/>
              <w:right w:val="single" w:sz="4" w:space="0" w:color="auto"/>
            </w:tcBorders>
            <w:hideMark/>
          </w:tcPr>
          <w:p w14:paraId="0D3CA88C" w14:textId="77777777" w:rsidR="00DD15DC" w:rsidRPr="00480CEF" w:rsidRDefault="00DD15DC" w:rsidP="00480CEF">
            <w:pPr>
              <w:spacing w:line="240" w:lineRule="auto"/>
              <w:jc w:val="both"/>
              <w:rPr>
                <w:rFonts w:ascii="Palatino Linotype" w:hAnsi="Palatino Linotype"/>
                <w:i/>
                <w:lang w:val="fr-FR"/>
              </w:rPr>
            </w:pPr>
            <w:r w:rsidRPr="00480CEF">
              <w:rPr>
                <w:rFonts w:ascii="Palatino Linotype" w:hAnsi="Palatino Linotype"/>
                <w:i/>
                <w:lang w:val="fr-FR"/>
              </w:rPr>
              <w:t xml:space="preserve">E) Collecter les informations /données nécessaires sur place pour la l’élaboration du Manuel de procédures  </w:t>
            </w:r>
          </w:p>
        </w:tc>
        <w:tc>
          <w:tcPr>
            <w:tcW w:w="2610" w:type="dxa"/>
            <w:tcBorders>
              <w:top w:val="single" w:sz="4" w:space="0" w:color="auto"/>
              <w:left w:val="single" w:sz="4" w:space="0" w:color="auto"/>
              <w:bottom w:val="single" w:sz="4" w:space="0" w:color="auto"/>
              <w:right w:val="single" w:sz="4" w:space="0" w:color="auto"/>
            </w:tcBorders>
            <w:hideMark/>
          </w:tcPr>
          <w:p w14:paraId="6B1ABE93" w14:textId="77777777" w:rsidR="00DD15DC" w:rsidRPr="00480CEF" w:rsidRDefault="00DD15DC" w:rsidP="00480CEF">
            <w:pPr>
              <w:spacing w:line="240" w:lineRule="auto"/>
              <w:jc w:val="both"/>
              <w:rPr>
                <w:rFonts w:ascii="Palatino Linotype" w:hAnsi="Palatino Linotype"/>
                <w:i/>
                <w:lang w:val="fr-FR"/>
              </w:rPr>
            </w:pPr>
            <w:r w:rsidRPr="00480CEF">
              <w:rPr>
                <w:rFonts w:ascii="Palatino Linotype" w:hAnsi="Palatino Linotype"/>
                <w:i/>
                <w:lang w:val="fr-FR"/>
              </w:rPr>
              <w:t>Neuf (9) jours commençant à courir à la date de la soumission par la Cour de ses remarques sur d)</w:t>
            </w:r>
          </w:p>
          <w:p w14:paraId="7C0E04AF" w14:textId="77777777" w:rsidR="00DD15DC" w:rsidRPr="00480CEF" w:rsidRDefault="00DD15DC" w:rsidP="00480CEF">
            <w:pPr>
              <w:spacing w:line="240" w:lineRule="auto"/>
              <w:jc w:val="both"/>
              <w:rPr>
                <w:rFonts w:ascii="Palatino Linotype" w:hAnsi="Palatino Linotype"/>
                <w:i/>
                <w:color w:val="FF0000"/>
                <w:lang w:val="fr-FR"/>
              </w:rPr>
            </w:pPr>
            <w:r w:rsidRPr="00480CEF">
              <w:rPr>
                <w:rFonts w:ascii="Palatino Linotype" w:hAnsi="Palatino Linotype"/>
                <w:b/>
                <w:lang w:val="fr-FR"/>
              </w:rPr>
              <w:t xml:space="preserve">DT= : 9 jours </w:t>
            </w:r>
          </w:p>
        </w:tc>
        <w:tc>
          <w:tcPr>
            <w:tcW w:w="3060" w:type="dxa"/>
            <w:tcBorders>
              <w:top w:val="single" w:sz="4" w:space="0" w:color="auto"/>
              <w:left w:val="single" w:sz="4" w:space="0" w:color="auto"/>
              <w:bottom w:val="single" w:sz="4" w:space="0" w:color="auto"/>
              <w:right w:val="single" w:sz="4" w:space="0" w:color="auto"/>
            </w:tcBorders>
            <w:hideMark/>
          </w:tcPr>
          <w:p w14:paraId="40D6B45F" w14:textId="77777777" w:rsidR="00DD15DC" w:rsidRPr="00480CEF" w:rsidRDefault="00DD15DC" w:rsidP="00480CEF">
            <w:pPr>
              <w:spacing w:line="240" w:lineRule="auto"/>
              <w:jc w:val="both"/>
              <w:rPr>
                <w:rFonts w:ascii="Palatino Linotype" w:hAnsi="Palatino Linotype"/>
                <w:i/>
                <w:color w:val="FF0000"/>
                <w:lang w:val="fr-FR"/>
              </w:rPr>
            </w:pPr>
            <w:r w:rsidRPr="00480CEF">
              <w:rPr>
                <w:rFonts w:ascii="Palatino Linotype" w:hAnsi="Palatino Linotype"/>
                <w:i/>
                <w:lang w:val="fr-FR"/>
              </w:rPr>
              <w:t xml:space="preserve">La Cour assure, huit (8) jours calendaires avant chaque réunion, la mobilisation des entités et personnes nécessaires concernées pour faciliter la collecte des informations </w:t>
            </w:r>
          </w:p>
        </w:tc>
      </w:tr>
      <w:tr w:rsidR="00DD15DC" w:rsidRPr="00480CEF" w14:paraId="61E70140" w14:textId="77777777" w:rsidTr="00DD15DC">
        <w:trPr>
          <w:trHeight w:val="1835"/>
        </w:trPr>
        <w:tc>
          <w:tcPr>
            <w:tcW w:w="3475" w:type="dxa"/>
            <w:tcBorders>
              <w:top w:val="single" w:sz="4" w:space="0" w:color="auto"/>
              <w:left w:val="single" w:sz="4" w:space="0" w:color="auto"/>
              <w:bottom w:val="single" w:sz="4" w:space="0" w:color="auto"/>
              <w:right w:val="single" w:sz="4" w:space="0" w:color="auto"/>
            </w:tcBorders>
            <w:hideMark/>
          </w:tcPr>
          <w:p w14:paraId="2F5F2F5F" w14:textId="77777777" w:rsidR="00DD15DC" w:rsidRPr="00480CEF" w:rsidRDefault="00DD15DC" w:rsidP="00480CEF">
            <w:pPr>
              <w:spacing w:line="240" w:lineRule="auto"/>
              <w:jc w:val="both"/>
              <w:rPr>
                <w:rFonts w:ascii="Palatino Linotype" w:hAnsi="Palatino Linotype"/>
                <w:i/>
                <w:lang w:val="fr-FR"/>
              </w:rPr>
            </w:pPr>
            <w:r w:rsidRPr="00480CEF">
              <w:rPr>
                <w:rFonts w:ascii="Palatino Linotype" w:hAnsi="Palatino Linotype"/>
                <w:i/>
                <w:lang w:val="fr-FR"/>
              </w:rPr>
              <w:t>F) Rédiger et soumettre conjointement le projet de Manuel de procédures réunissant tous les LIVRES et/ou CHAPITRES relatifs aux différentes dimensions fonctionnelles (corps de métiers) et organisationnelles</w:t>
            </w:r>
          </w:p>
        </w:tc>
        <w:tc>
          <w:tcPr>
            <w:tcW w:w="2610" w:type="dxa"/>
            <w:tcBorders>
              <w:top w:val="single" w:sz="4" w:space="0" w:color="auto"/>
              <w:left w:val="single" w:sz="4" w:space="0" w:color="auto"/>
              <w:bottom w:val="single" w:sz="4" w:space="0" w:color="auto"/>
              <w:right w:val="single" w:sz="4" w:space="0" w:color="auto"/>
            </w:tcBorders>
            <w:hideMark/>
          </w:tcPr>
          <w:p w14:paraId="71A91438" w14:textId="77777777" w:rsidR="00DD15DC" w:rsidRPr="00480CEF" w:rsidRDefault="00DD15DC" w:rsidP="00480CEF">
            <w:pPr>
              <w:spacing w:line="240" w:lineRule="auto"/>
              <w:rPr>
                <w:rFonts w:ascii="Palatino Linotype" w:hAnsi="Palatino Linotype"/>
                <w:i/>
                <w:lang w:val="fr-FR"/>
              </w:rPr>
            </w:pPr>
            <w:r w:rsidRPr="00480CEF">
              <w:rPr>
                <w:rFonts w:ascii="Palatino Linotype" w:hAnsi="Palatino Linotype"/>
                <w:i/>
                <w:lang w:val="fr-FR"/>
              </w:rPr>
              <w:t>Quatorze (14) jours calendaires commençant à courir à la date de fin des activités en e)</w:t>
            </w:r>
          </w:p>
          <w:p w14:paraId="7E7997D5" w14:textId="77777777" w:rsidR="00DD15DC" w:rsidRPr="00480CEF" w:rsidRDefault="00DD15DC" w:rsidP="00480CEF">
            <w:pPr>
              <w:spacing w:line="240" w:lineRule="auto"/>
              <w:jc w:val="both"/>
              <w:rPr>
                <w:rFonts w:ascii="Palatino Linotype" w:hAnsi="Palatino Linotype"/>
                <w:i/>
                <w:lang w:val="fr-FR"/>
              </w:rPr>
            </w:pPr>
            <w:r w:rsidRPr="00480CEF">
              <w:rPr>
                <w:rFonts w:ascii="Palatino Linotype" w:hAnsi="Palatino Linotype"/>
                <w:b/>
                <w:lang w:val="fr-FR"/>
              </w:rPr>
              <w:t xml:space="preserve">DT : 19 jours </w:t>
            </w:r>
          </w:p>
        </w:tc>
        <w:tc>
          <w:tcPr>
            <w:tcW w:w="3060" w:type="dxa"/>
            <w:tcBorders>
              <w:top w:val="single" w:sz="4" w:space="0" w:color="auto"/>
              <w:left w:val="single" w:sz="4" w:space="0" w:color="auto"/>
              <w:bottom w:val="single" w:sz="4" w:space="0" w:color="auto"/>
              <w:right w:val="single" w:sz="4" w:space="0" w:color="auto"/>
            </w:tcBorders>
            <w:hideMark/>
          </w:tcPr>
          <w:p w14:paraId="19C2D160" w14:textId="77777777" w:rsidR="00DD15DC" w:rsidRPr="00480CEF" w:rsidRDefault="00DD15DC" w:rsidP="00480CEF">
            <w:pPr>
              <w:spacing w:line="240" w:lineRule="auto"/>
              <w:jc w:val="both"/>
              <w:rPr>
                <w:rFonts w:ascii="Palatino Linotype" w:hAnsi="Palatino Linotype"/>
                <w:i/>
                <w:lang w:val="fr-FR"/>
              </w:rPr>
            </w:pPr>
            <w:r w:rsidRPr="00480CEF">
              <w:rPr>
                <w:rFonts w:ascii="Palatino Linotype" w:hAnsi="Palatino Linotype"/>
                <w:i/>
                <w:lang w:val="fr-FR"/>
              </w:rPr>
              <w:t>Cinq (5) jours calendaires à la Cour pour produire et faire connaitre ses observations sur f)</w:t>
            </w:r>
          </w:p>
        </w:tc>
      </w:tr>
      <w:tr w:rsidR="00DD15DC" w:rsidRPr="00480CEF" w14:paraId="4AF61FB5" w14:textId="77777777" w:rsidTr="00DD15DC">
        <w:trPr>
          <w:trHeight w:val="1592"/>
        </w:trPr>
        <w:tc>
          <w:tcPr>
            <w:tcW w:w="3475" w:type="dxa"/>
            <w:tcBorders>
              <w:top w:val="single" w:sz="4" w:space="0" w:color="auto"/>
              <w:left w:val="single" w:sz="4" w:space="0" w:color="auto"/>
              <w:bottom w:val="single" w:sz="4" w:space="0" w:color="auto"/>
              <w:right w:val="single" w:sz="4" w:space="0" w:color="auto"/>
            </w:tcBorders>
            <w:hideMark/>
          </w:tcPr>
          <w:p w14:paraId="7627E8FC" w14:textId="77777777" w:rsidR="00DD15DC" w:rsidRPr="00480CEF" w:rsidRDefault="00DD15DC" w:rsidP="00480CEF">
            <w:pPr>
              <w:spacing w:line="240" w:lineRule="auto"/>
              <w:jc w:val="both"/>
              <w:rPr>
                <w:rFonts w:ascii="Palatino Linotype" w:hAnsi="Palatino Linotype"/>
                <w:i/>
                <w:lang w:val="fr-FR"/>
              </w:rPr>
            </w:pPr>
            <w:r w:rsidRPr="00480CEF">
              <w:rPr>
                <w:rFonts w:ascii="Palatino Linotype" w:hAnsi="Palatino Linotype"/>
                <w:i/>
                <w:lang w:val="fr-FR"/>
              </w:rPr>
              <w:t>G) Incorporer les premières remarques de la Cour dans le projet de Manuel, le compléter et le présenter en version préliminaire pour avis en vue de sa finalisation</w:t>
            </w:r>
          </w:p>
        </w:tc>
        <w:tc>
          <w:tcPr>
            <w:tcW w:w="2610" w:type="dxa"/>
            <w:tcBorders>
              <w:top w:val="single" w:sz="4" w:space="0" w:color="auto"/>
              <w:left w:val="single" w:sz="4" w:space="0" w:color="auto"/>
              <w:bottom w:val="single" w:sz="4" w:space="0" w:color="auto"/>
              <w:right w:val="single" w:sz="4" w:space="0" w:color="auto"/>
            </w:tcBorders>
            <w:hideMark/>
          </w:tcPr>
          <w:p w14:paraId="74220B99" w14:textId="77777777" w:rsidR="00DD15DC" w:rsidRPr="00480CEF" w:rsidRDefault="00DD15DC" w:rsidP="00480CEF">
            <w:pPr>
              <w:spacing w:line="240" w:lineRule="auto"/>
              <w:jc w:val="both"/>
              <w:rPr>
                <w:rFonts w:ascii="Palatino Linotype" w:hAnsi="Palatino Linotype"/>
                <w:i/>
                <w:lang w:val="fr-FR"/>
              </w:rPr>
            </w:pPr>
            <w:r w:rsidRPr="00480CEF">
              <w:rPr>
                <w:rFonts w:ascii="Palatino Linotype" w:hAnsi="Palatino Linotype"/>
                <w:i/>
                <w:lang w:val="fr-FR"/>
              </w:rPr>
              <w:t>Sept (7) jours à compter de la date de soumission par la Cour de ses avis sur f)</w:t>
            </w:r>
          </w:p>
          <w:p w14:paraId="5923D6C1" w14:textId="77777777" w:rsidR="00DD15DC" w:rsidRPr="00480CEF" w:rsidRDefault="00DD15DC" w:rsidP="00480CEF">
            <w:pPr>
              <w:spacing w:line="240" w:lineRule="auto"/>
              <w:jc w:val="both"/>
              <w:rPr>
                <w:rFonts w:ascii="Palatino Linotype" w:hAnsi="Palatino Linotype"/>
                <w:i/>
                <w:lang w:val="fr-FR"/>
              </w:rPr>
            </w:pPr>
            <w:r w:rsidRPr="00480CEF">
              <w:rPr>
                <w:rFonts w:ascii="Palatino Linotype" w:hAnsi="Palatino Linotype"/>
                <w:b/>
                <w:lang w:val="fr-FR"/>
              </w:rPr>
              <w:t xml:space="preserve">DT=10 jours </w:t>
            </w:r>
          </w:p>
        </w:tc>
        <w:tc>
          <w:tcPr>
            <w:tcW w:w="3060" w:type="dxa"/>
            <w:tcBorders>
              <w:top w:val="single" w:sz="4" w:space="0" w:color="auto"/>
              <w:left w:val="single" w:sz="4" w:space="0" w:color="auto"/>
              <w:bottom w:val="single" w:sz="4" w:space="0" w:color="auto"/>
              <w:right w:val="single" w:sz="4" w:space="0" w:color="auto"/>
            </w:tcBorders>
            <w:hideMark/>
          </w:tcPr>
          <w:p w14:paraId="4EF292CA" w14:textId="77777777" w:rsidR="00DD15DC" w:rsidRPr="00480CEF" w:rsidRDefault="00DD15DC" w:rsidP="00480CEF">
            <w:pPr>
              <w:spacing w:line="240" w:lineRule="auto"/>
              <w:jc w:val="both"/>
              <w:rPr>
                <w:rFonts w:ascii="Palatino Linotype" w:hAnsi="Palatino Linotype"/>
                <w:i/>
                <w:lang w:val="fr-FR"/>
              </w:rPr>
            </w:pPr>
            <w:r w:rsidRPr="00480CEF">
              <w:rPr>
                <w:rFonts w:ascii="Palatino Linotype" w:hAnsi="Palatino Linotype"/>
                <w:i/>
                <w:lang w:val="fr-FR"/>
              </w:rPr>
              <w:t xml:space="preserve">Trois (3) jours à la Cour pour soumettre ses remarques de forme et de fond sur g) </w:t>
            </w:r>
          </w:p>
        </w:tc>
      </w:tr>
      <w:tr w:rsidR="00DD15DC" w:rsidRPr="00480CEF" w14:paraId="1C88C9A9" w14:textId="77777777" w:rsidTr="00DD15DC">
        <w:tc>
          <w:tcPr>
            <w:tcW w:w="3475" w:type="dxa"/>
            <w:tcBorders>
              <w:top w:val="single" w:sz="4" w:space="0" w:color="auto"/>
              <w:left w:val="single" w:sz="4" w:space="0" w:color="auto"/>
              <w:bottom w:val="single" w:sz="4" w:space="0" w:color="auto"/>
              <w:right w:val="single" w:sz="4" w:space="0" w:color="auto"/>
            </w:tcBorders>
            <w:hideMark/>
          </w:tcPr>
          <w:p w14:paraId="5F2B31CD" w14:textId="77777777" w:rsidR="00DD15DC" w:rsidRPr="00480CEF" w:rsidRDefault="00DD15DC" w:rsidP="00480CEF">
            <w:pPr>
              <w:spacing w:line="240" w:lineRule="auto"/>
              <w:jc w:val="both"/>
              <w:rPr>
                <w:rFonts w:ascii="Palatino Linotype" w:hAnsi="Palatino Linotype"/>
                <w:i/>
                <w:lang w:val="fr-FR"/>
              </w:rPr>
            </w:pPr>
            <w:r w:rsidRPr="00480CEF">
              <w:rPr>
                <w:rFonts w:ascii="Palatino Linotype" w:hAnsi="Palatino Linotype"/>
                <w:i/>
                <w:lang w:val="fr-FR"/>
              </w:rPr>
              <w:t>H) Finaliser le Manuel, Livres, Chapitres et Sections inclus, avec les justificatifs des choix et aménagements faits et en soumettre la version définitive en prenant en compte les dernières observations de la Cour</w:t>
            </w:r>
          </w:p>
        </w:tc>
        <w:tc>
          <w:tcPr>
            <w:tcW w:w="2610" w:type="dxa"/>
            <w:tcBorders>
              <w:top w:val="single" w:sz="4" w:space="0" w:color="auto"/>
              <w:left w:val="single" w:sz="4" w:space="0" w:color="auto"/>
              <w:bottom w:val="single" w:sz="4" w:space="0" w:color="auto"/>
              <w:right w:val="single" w:sz="4" w:space="0" w:color="auto"/>
            </w:tcBorders>
            <w:hideMark/>
          </w:tcPr>
          <w:p w14:paraId="17227784" w14:textId="77777777" w:rsidR="00DD15DC" w:rsidRPr="00480CEF" w:rsidRDefault="00DD15DC" w:rsidP="00480CEF">
            <w:pPr>
              <w:spacing w:line="240" w:lineRule="auto"/>
              <w:rPr>
                <w:rFonts w:ascii="Palatino Linotype" w:hAnsi="Palatino Linotype"/>
                <w:i/>
                <w:lang w:val="fr-FR"/>
              </w:rPr>
            </w:pPr>
            <w:r w:rsidRPr="00480CEF">
              <w:rPr>
                <w:rFonts w:ascii="Palatino Linotype" w:hAnsi="Palatino Linotype"/>
                <w:i/>
                <w:lang w:val="fr-FR"/>
              </w:rPr>
              <w:t xml:space="preserve">Cinq (5) jours calendaires à partir de la date de réception des observations de la Cour sur le projet de Manuel livré en g) </w:t>
            </w:r>
          </w:p>
          <w:p w14:paraId="204FC7F7" w14:textId="77777777" w:rsidR="00DD15DC" w:rsidRPr="00480CEF" w:rsidRDefault="00DD15DC" w:rsidP="00480CEF">
            <w:pPr>
              <w:spacing w:line="240" w:lineRule="auto"/>
              <w:jc w:val="both"/>
              <w:rPr>
                <w:rFonts w:ascii="Palatino Linotype" w:hAnsi="Palatino Linotype"/>
                <w:i/>
                <w:color w:val="FF0000"/>
                <w:lang w:val="fr-FR"/>
              </w:rPr>
            </w:pPr>
            <w:r w:rsidRPr="00480CEF">
              <w:rPr>
                <w:rFonts w:ascii="Palatino Linotype" w:hAnsi="Palatino Linotype"/>
                <w:b/>
                <w:lang w:val="fr-FR"/>
              </w:rPr>
              <w:t xml:space="preserve">DT : 9 jours </w:t>
            </w:r>
          </w:p>
        </w:tc>
        <w:tc>
          <w:tcPr>
            <w:tcW w:w="3060" w:type="dxa"/>
            <w:tcBorders>
              <w:top w:val="single" w:sz="4" w:space="0" w:color="auto"/>
              <w:left w:val="single" w:sz="4" w:space="0" w:color="auto"/>
              <w:bottom w:val="single" w:sz="4" w:space="0" w:color="auto"/>
              <w:right w:val="single" w:sz="4" w:space="0" w:color="auto"/>
            </w:tcBorders>
            <w:hideMark/>
          </w:tcPr>
          <w:p w14:paraId="2FB70D5F" w14:textId="77777777" w:rsidR="00DD15DC" w:rsidRPr="00480CEF" w:rsidRDefault="00DD15DC" w:rsidP="00480CEF">
            <w:pPr>
              <w:spacing w:line="240" w:lineRule="auto"/>
              <w:jc w:val="both"/>
              <w:rPr>
                <w:rFonts w:ascii="Palatino Linotype" w:hAnsi="Palatino Linotype"/>
                <w:i/>
                <w:color w:val="FF0000"/>
                <w:lang w:val="fr-FR"/>
              </w:rPr>
            </w:pPr>
            <w:r w:rsidRPr="00480CEF">
              <w:rPr>
                <w:rFonts w:ascii="Palatino Linotype" w:hAnsi="Palatino Linotype"/>
                <w:i/>
                <w:lang w:val="fr-FR"/>
              </w:rPr>
              <w:t>Quatre (4) jours calendaires à la Cour pour l’exercice du contrôle qualité et soumission de ses remarques finales sur h)</w:t>
            </w:r>
          </w:p>
        </w:tc>
      </w:tr>
      <w:tr w:rsidR="00DD15DC" w:rsidRPr="00480CEF" w14:paraId="0B1A2684" w14:textId="77777777" w:rsidTr="00DD15DC">
        <w:tc>
          <w:tcPr>
            <w:tcW w:w="3475" w:type="dxa"/>
            <w:tcBorders>
              <w:top w:val="single" w:sz="4" w:space="0" w:color="auto"/>
              <w:left w:val="single" w:sz="4" w:space="0" w:color="auto"/>
              <w:bottom w:val="single" w:sz="4" w:space="0" w:color="auto"/>
              <w:right w:val="single" w:sz="4" w:space="0" w:color="auto"/>
            </w:tcBorders>
            <w:hideMark/>
          </w:tcPr>
          <w:p w14:paraId="46AD0B32" w14:textId="77777777" w:rsidR="00DD15DC" w:rsidRPr="00480CEF" w:rsidRDefault="00DD15DC" w:rsidP="00480CEF">
            <w:pPr>
              <w:spacing w:line="240" w:lineRule="auto"/>
              <w:jc w:val="both"/>
              <w:rPr>
                <w:rFonts w:ascii="Palatino Linotype" w:hAnsi="Palatino Linotype"/>
                <w:i/>
                <w:lang w:val="fr-FR"/>
              </w:rPr>
            </w:pPr>
            <w:r w:rsidRPr="00480CEF">
              <w:rPr>
                <w:rFonts w:ascii="Palatino Linotype" w:hAnsi="Palatino Linotype"/>
                <w:i/>
                <w:lang w:val="fr-FR"/>
              </w:rPr>
              <w:t xml:space="preserve">I)Réviser le Manuel et en assurer la mise en page et le formatage en prenant en compte les commentaires finals de la Cour et le Présenter au Conseil de la Cour la version </w:t>
            </w:r>
            <w:r w:rsidRPr="00480CEF">
              <w:rPr>
                <w:rFonts w:ascii="Palatino Linotype" w:hAnsi="Palatino Linotype"/>
                <w:i/>
                <w:lang w:val="fr-FR"/>
              </w:rPr>
              <w:lastRenderedPageBreak/>
              <w:t xml:space="preserve">définitive en séance de restitution </w:t>
            </w:r>
          </w:p>
        </w:tc>
        <w:tc>
          <w:tcPr>
            <w:tcW w:w="2610" w:type="dxa"/>
            <w:tcBorders>
              <w:top w:val="single" w:sz="4" w:space="0" w:color="auto"/>
              <w:left w:val="single" w:sz="4" w:space="0" w:color="auto"/>
              <w:bottom w:val="single" w:sz="4" w:space="0" w:color="auto"/>
              <w:right w:val="single" w:sz="4" w:space="0" w:color="auto"/>
            </w:tcBorders>
            <w:hideMark/>
          </w:tcPr>
          <w:p w14:paraId="77935CD8" w14:textId="77777777" w:rsidR="00DD15DC" w:rsidRPr="00480CEF" w:rsidRDefault="00DD15DC" w:rsidP="00480CEF">
            <w:pPr>
              <w:spacing w:line="240" w:lineRule="auto"/>
              <w:jc w:val="both"/>
              <w:rPr>
                <w:rFonts w:ascii="Palatino Linotype" w:hAnsi="Palatino Linotype"/>
                <w:i/>
                <w:lang w:val="fr-FR"/>
              </w:rPr>
            </w:pPr>
            <w:r w:rsidRPr="00480CEF">
              <w:rPr>
                <w:rFonts w:ascii="Palatino Linotype" w:hAnsi="Palatino Linotype"/>
                <w:i/>
                <w:lang w:val="fr-FR"/>
              </w:rPr>
              <w:lastRenderedPageBreak/>
              <w:t xml:space="preserve">Trois (3) jours calendaires à partir de la date de réception des commentaires de la Cour sur la version du Manuel </w:t>
            </w:r>
            <w:r w:rsidRPr="00480CEF">
              <w:rPr>
                <w:rFonts w:ascii="Palatino Linotype" w:hAnsi="Palatino Linotype"/>
                <w:i/>
                <w:lang w:val="fr-FR"/>
              </w:rPr>
              <w:lastRenderedPageBreak/>
              <w:t>livré en h)</w:t>
            </w:r>
          </w:p>
          <w:p w14:paraId="6B5DC8F2" w14:textId="77777777" w:rsidR="00DD15DC" w:rsidRPr="00480CEF" w:rsidRDefault="00DD15DC" w:rsidP="00480CEF">
            <w:pPr>
              <w:spacing w:line="240" w:lineRule="auto"/>
              <w:jc w:val="both"/>
              <w:rPr>
                <w:rFonts w:ascii="Palatino Linotype" w:hAnsi="Palatino Linotype"/>
                <w:i/>
                <w:lang w:val="fr-FR"/>
              </w:rPr>
            </w:pPr>
            <w:r w:rsidRPr="00480CEF">
              <w:rPr>
                <w:rFonts w:ascii="Palatino Linotype" w:hAnsi="Palatino Linotype"/>
                <w:b/>
                <w:lang w:val="fr-FR"/>
              </w:rPr>
              <w:t xml:space="preserve">DT= 3 jours </w:t>
            </w:r>
          </w:p>
        </w:tc>
        <w:tc>
          <w:tcPr>
            <w:tcW w:w="3060" w:type="dxa"/>
            <w:tcBorders>
              <w:top w:val="single" w:sz="4" w:space="0" w:color="auto"/>
              <w:left w:val="single" w:sz="4" w:space="0" w:color="auto"/>
              <w:bottom w:val="single" w:sz="4" w:space="0" w:color="auto"/>
              <w:right w:val="single" w:sz="4" w:space="0" w:color="auto"/>
            </w:tcBorders>
            <w:hideMark/>
          </w:tcPr>
          <w:p w14:paraId="07F2DD22" w14:textId="77777777" w:rsidR="00DD15DC" w:rsidRPr="00480CEF" w:rsidRDefault="00DD15DC" w:rsidP="00480CEF">
            <w:pPr>
              <w:spacing w:line="240" w:lineRule="auto"/>
              <w:jc w:val="both"/>
              <w:rPr>
                <w:rFonts w:ascii="Palatino Linotype" w:hAnsi="Palatino Linotype"/>
                <w:i/>
                <w:lang w:val="fr-FR"/>
              </w:rPr>
            </w:pPr>
            <w:r w:rsidRPr="00480CEF">
              <w:rPr>
                <w:rFonts w:ascii="Palatino Linotype" w:hAnsi="Palatino Linotype"/>
                <w:i/>
                <w:lang w:val="fr-FR"/>
              </w:rPr>
              <w:lastRenderedPageBreak/>
              <w:t>Validation en Conseil du document définitif Manuel : durée qui n’impactera pas le calendrier global</w:t>
            </w:r>
          </w:p>
        </w:tc>
      </w:tr>
      <w:tr w:rsidR="00DD15DC" w:rsidRPr="00480CEF" w14:paraId="062A9B32" w14:textId="77777777" w:rsidTr="00DD15DC">
        <w:tc>
          <w:tcPr>
            <w:tcW w:w="3475" w:type="dxa"/>
            <w:tcBorders>
              <w:top w:val="single" w:sz="4" w:space="0" w:color="auto"/>
              <w:left w:val="single" w:sz="4" w:space="0" w:color="auto"/>
              <w:bottom w:val="single" w:sz="4" w:space="0" w:color="auto"/>
              <w:right w:val="single" w:sz="4" w:space="0" w:color="auto"/>
            </w:tcBorders>
            <w:hideMark/>
          </w:tcPr>
          <w:p w14:paraId="05443C2C" w14:textId="77777777" w:rsidR="00DD15DC" w:rsidRPr="00480CEF" w:rsidRDefault="00DD15DC" w:rsidP="00480CEF">
            <w:pPr>
              <w:spacing w:line="240" w:lineRule="auto"/>
              <w:jc w:val="both"/>
              <w:rPr>
                <w:rFonts w:ascii="Palatino Linotype" w:hAnsi="Palatino Linotype"/>
                <w:i/>
                <w:lang w:val="fr-FR"/>
              </w:rPr>
            </w:pPr>
            <w:r w:rsidRPr="00480CEF">
              <w:rPr>
                <w:rFonts w:ascii="Palatino Linotype" w:hAnsi="Palatino Linotype"/>
                <w:i/>
                <w:lang w:val="fr-FR"/>
              </w:rPr>
              <w:t>J) Rédiger et Soumettre, conjointement le Rapport de fin de mission incluant tous les produits livrés ainsi que le bilan et l’évaluation de la mission dans sa globalité avec les recommandations pour la mise en œuvre effective du Manuel</w:t>
            </w:r>
          </w:p>
        </w:tc>
        <w:tc>
          <w:tcPr>
            <w:tcW w:w="2610" w:type="dxa"/>
            <w:tcBorders>
              <w:top w:val="single" w:sz="4" w:space="0" w:color="auto"/>
              <w:left w:val="single" w:sz="4" w:space="0" w:color="auto"/>
              <w:bottom w:val="single" w:sz="4" w:space="0" w:color="auto"/>
              <w:right w:val="single" w:sz="4" w:space="0" w:color="auto"/>
            </w:tcBorders>
            <w:hideMark/>
          </w:tcPr>
          <w:p w14:paraId="25C50986" w14:textId="77777777" w:rsidR="00DD15DC" w:rsidRPr="00480CEF" w:rsidRDefault="00DD15DC" w:rsidP="00480CEF">
            <w:pPr>
              <w:spacing w:line="240" w:lineRule="auto"/>
              <w:jc w:val="both"/>
              <w:rPr>
                <w:rFonts w:ascii="Palatino Linotype" w:hAnsi="Palatino Linotype"/>
                <w:i/>
                <w:lang w:val="fr-FR"/>
              </w:rPr>
            </w:pPr>
            <w:r w:rsidRPr="00480CEF">
              <w:rPr>
                <w:rFonts w:ascii="Palatino Linotype" w:hAnsi="Palatino Linotype"/>
                <w:i/>
                <w:lang w:val="fr-FR"/>
              </w:rPr>
              <w:t>Au dixième jour (10) qui suivra le dépôt ou la communication de la version définitive du Manuel en i)</w:t>
            </w:r>
          </w:p>
          <w:p w14:paraId="130B3399" w14:textId="77777777" w:rsidR="00DD15DC" w:rsidRPr="00480CEF" w:rsidRDefault="00DD15DC" w:rsidP="00480CEF">
            <w:pPr>
              <w:spacing w:line="240" w:lineRule="auto"/>
              <w:jc w:val="both"/>
              <w:rPr>
                <w:rFonts w:ascii="Palatino Linotype" w:hAnsi="Palatino Linotype"/>
                <w:i/>
                <w:lang w:val="fr-FR"/>
              </w:rPr>
            </w:pPr>
            <w:r w:rsidRPr="00480CEF">
              <w:rPr>
                <w:rFonts w:ascii="Palatino Linotype" w:hAnsi="Palatino Linotype"/>
                <w:b/>
                <w:lang w:val="fr-FR"/>
              </w:rPr>
              <w:t>DT : 0 jours facturable</w:t>
            </w:r>
          </w:p>
        </w:tc>
        <w:tc>
          <w:tcPr>
            <w:tcW w:w="3060" w:type="dxa"/>
            <w:tcBorders>
              <w:top w:val="single" w:sz="4" w:space="0" w:color="auto"/>
              <w:left w:val="single" w:sz="4" w:space="0" w:color="auto"/>
              <w:bottom w:val="single" w:sz="4" w:space="0" w:color="auto"/>
              <w:right w:val="single" w:sz="4" w:space="0" w:color="auto"/>
            </w:tcBorders>
            <w:hideMark/>
          </w:tcPr>
          <w:p w14:paraId="2FC726DC" w14:textId="77777777" w:rsidR="00DD15DC" w:rsidRPr="00480CEF" w:rsidRDefault="00DD15DC" w:rsidP="00480CEF">
            <w:pPr>
              <w:spacing w:line="240" w:lineRule="auto"/>
              <w:jc w:val="both"/>
              <w:rPr>
                <w:rFonts w:ascii="Palatino Linotype" w:hAnsi="Palatino Linotype"/>
                <w:i/>
                <w:lang w:val="fr-FR"/>
              </w:rPr>
            </w:pPr>
            <w:r w:rsidRPr="00480CEF">
              <w:rPr>
                <w:rFonts w:ascii="Palatino Linotype" w:hAnsi="Palatino Linotype"/>
                <w:i/>
                <w:lang w:val="fr-FR"/>
              </w:rPr>
              <w:t>Validation en Conseil du Rapport de mission</w:t>
            </w:r>
          </w:p>
        </w:tc>
      </w:tr>
    </w:tbl>
    <w:p w14:paraId="2B907567" w14:textId="77777777" w:rsidR="00DD15DC" w:rsidRPr="00480CEF" w:rsidRDefault="00DD15DC" w:rsidP="00480CEF">
      <w:pPr>
        <w:widowControl/>
        <w:spacing w:after="160" w:line="240" w:lineRule="auto"/>
        <w:jc w:val="both"/>
        <w:rPr>
          <w:rFonts w:ascii="Palatino Linotype" w:eastAsia="Calibri" w:hAnsi="Palatino Linotype" w:cs="Times New Roman"/>
          <w:lang w:val="fr-FR"/>
        </w:rPr>
      </w:pPr>
    </w:p>
    <w:p w14:paraId="5FF4B8A6" w14:textId="77777777" w:rsidR="00DD15DC" w:rsidRPr="00480CEF" w:rsidRDefault="00DD15DC" w:rsidP="00480CEF">
      <w:pPr>
        <w:widowControl/>
        <w:numPr>
          <w:ilvl w:val="0"/>
          <w:numId w:val="24"/>
        </w:numPr>
        <w:spacing w:line="240" w:lineRule="auto"/>
        <w:ind w:left="1080"/>
        <w:jc w:val="both"/>
        <w:rPr>
          <w:rFonts w:ascii="Palatino Linotype" w:eastAsia="Calibri" w:hAnsi="Palatino Linotype" w:cs="Times New Roman"/>
          <w:b/>
          <w:lang w:val="fr-FR"/>
        </w:rPr>
      </w:pPr>
      <w:r w:rsidRPr="00480CEF">
        <w:rPr>
          <w:rFonts w:ascii="Palatino Linotype" w:eastAsia="Calibri" w:hAnsi="Palatino Linotype" w:cs="Times New Roman"/>
          <w:b/>
          <w:lang w:val="fr-FR"/>
        </w:rPr>
        <w:t>MÉTHODOLOGIE ET MODALITÉS D’EXÉCUTION DE LA MISSION</w:t>
      </w:r>
    </w:p>
    <w:p w14:paraId="4A5C960A" w14:textId="77777777" w:rsidR="00DD15DC" w:rsidRPr="00480CEF" w:rsidRDefault="00DD15DC" w:rsidP="00480CEF">
      <w:pPr>
        <w:widowControl/>
        <w:spacing w:after="160" w:line="240" w:lineRule="auto"/>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Les Experts, relativement à leurs responsabilités contractuelles et fonctionnelles spécifiques dans l’exécution efficace de cette mission, doivent, selon une approche de travail concertée, structurer les démarches méthodologiques de l’intervention autour des points qui suivent : </w:t>
      </w:r>
    </w:p>
    <w:p w14:paraId="5CF4E063" w14:textId="77777777" w:rsidR="00DD15DC" w:rsidRPr="00480CEF" w:rsidRDefault="00DD15DC" w:rsidP="00480CEF">
      <w:pPr>
        <w:widowControl/>
        <w:numPr>
          <w:ilvl w:val="0"/>
          <w:numId w:val="27"/>
        </w:numPr>
        <w:spacing w:after="160" w:line="240" w:lineRule="auto"/>
        <w:contextualSpacing/>
        <w:jc w:val="both"/>
        <w:rPr>
          <w:rFonts w:ascii="Palatino Linotype" w:eastAsia="Calibri" w:hAnsi="Palatino Linotype" w:cs="Times New Roman"/>
          <w:lang w:val="fr-FR"/>
        </w:rPr>
      </w:pPr>
      <w:r w:rsidRPr="00480CEF">
        <w:rPr>
          <w:rFonts w:ascii="Palatino Linotype" w:eastAsia="Calibri" w:hAnsi="Palatino Linotype" w:cs="Times New Roman"/>
          <w:lang w:val="fr-FR"/>
        </w:rPr>
        <w:t>L’organisation des rencontres d’échanges individualisées ou collégiales de travail avec la Cour sur le cadrage, l’orientation et la clarification de la mission ;</w:t>
      </w:r>
    </w:p>
    <w:p w14:paraId="39511F3D" w14:textId="77777777" w:rsidR="00DD15DC" w:rsidRPr="00480CEF" w:rsidRDefault="00DD15DC" w:rsidP="00480CEF">
      <w:pPr>
        <w:widowControl/>
        <w:numPr>
          <w:ilvl w:val="0"/>
          <w:numId w:val="27"/>
        </w:numPr>
        <w:spacing w:after="160" w:line="240" w:lineRule="auto"/>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Le recensement et l’analyse de l’ensemble des instruments légaux et règlementaires en vigueur, des principes de gestion publique ou des normes professionnelles internationales applicables au domaine de la mission de la Cour ; </w:t>
      </w:r>
    </w:p>
    <w:p w14:paraId="782848DD" w14:textId="77777777" w:rsidR="00DD15DC" w:rsidRPr="00480CEF" w:rsidRDefault="00DD15DC" w:rsidP="00480CEF">
      <w:pPr>
        <w:widowControl/>
        <w:numPr>
          <w:ilvl w:val="0"/>
          <w:numId w:val="27"/>
        </w:numPr>
        <w:spacing w:after="160" w:line="240" w:lineRule="auto"/>
        <w:contextualSpacing/>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La présentation d’un projet de Guide méthodologique de travail au Conseil pour observations en vue de son adaptation éventuelle aux besoins réels de l’institution identifiés ; </w:t>
      </w:r>
    </w:p>
    <w:p w14:paraId="3C804118" w14:textId="77777777" w:rsidR="00DD15DC" w:rsidRPr="00480CEF" w:rsidRDefault="00DD15DC" w:rsidP="00480CEF">
      <w:pPr>
        <w:widowControl/>
        <w:numPr>
          <w:ilvl w:val="0"/>
          <w:numId w:val="27"/>
        </w:numPr>
        <w:spacing w:after="160" w:line="240" w:lineRule="auto"/>
        <w:contextualSpacing/>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La rencontre de planification et de collecte d’informations avec les différentes entités techniques et/ou administratives de la Cour impliquées dans les tâches formant les principales opérations de fonctionnement et les corps de métiers la caractérisant ; </w:t>
      </w:r>
    </w:p>
    <w:p w14:paraId="1F4E0479" w14:textId="77777777" w:rsidR="00DD15DC" w:rsidRPr="00480CEF" w:rsidRDefault="00DD15DC" w:rsidP="00480CEF">
      <w:pPr>
        <w:widowControl/>
        <w:numPr>
          <w:ilvl w:val="0"/>
          <w:numId w:val="27"/>
        </w:numPr>
        <w:spacing w:after="160" w:line="240" w:lineRule="auto"/>
        <w:contextualSpacing/>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L’analyse des processus de travail sur la base d’observations des opérations d’échanges inter-entités (services) ou de documents administratifs ou règlementaires existants ; </w:t>
      </w:r>
    </w:p>
    <w:p w14:paraId="0F0E45C4" w14:textId="77777777" w:rsidR="00DD15DC" w:rsidRPr="00480CEF" w:rsidRDefault="00DD15DC" w:rsidP="00480CEF">
      <w:pPr>
        <w:widowControl/>
        <w:numPr>
          <w:ilvl w:val="0"/>
          <w:numId w:val="27"/>
        </w:numPr>
        <w:spacing w:after="160" w:line="240" w:lineRule="auto"/>
        <w:contextualSpacing/>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La consultation, si besoin est, des organismes nationaux partenaires pour le recueil d’informations pertinentes sur les relations institutionnelles en place et celles à établir ; </w:t>
      </w:r>
    </w:p>
    <w:p w14:paraId="31971F56" w14:textId="77777777" w:rsidR="00DD15DC" w:rsidRPr="00480CEF" w:rsidRDefault="00DD15DC" w:rsidP="00480CEF">
      <w:pPr>
        <w:widowControl/>
        <w:numPr>
          <w:ilvl w:val="0"/>
          <w:numId w:val="27"/>
        </w:numPr>
        <w:spacing w:after="160" w:line="240" w:lineRule="auto"/>
        <w:contextualSpacing/>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La recherche de l’adhésion du Conseil, du moins de ses Représentants, sur le choix du modèle de présentation de l’Organigramme définitif de la Cour au regard de l’intervention en question ; </w:t>
      </w:r>
    </w:p>
    <w:p w14:paraId="0D99E363" w14:textId="77777777" w:rsidR="00DD15DC" w:rsidRPr="00480CEF" w:rsidRDefault="00DD15DC" w:rsidP="00480CEF">
      <w:pPr>
        <w:widowControl/>
        <w:numPr>
          <w:ilvl w:val="0"/>
          <w:numId w:val="27"/>
        </w:numPr>
        <w:spacing w:after="160" w:line="240" w:lineRule="auto"/>
        <w:contextualSpacing/>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L’étude du mode d’opération et de traitement des informations financières, comptables, administratives et juridictionnelles de la Cour ; </w:t>
      </w:r>
    </w:p>
    <w:p w14:paraId="63B508D5" w14:textId="77777777" w:rsidR="00DD15DC" w:rsidRPr="00480CEF" w:rsidRDefault="00DD15DC" w:rsidP="00480CEF">
      <w:pPr>
        <w:widowControl/>
        <w:numPr>
          <w:ilvl w:val="0"/>
          <w:numId w:val="27"/>
        </w:numPr>
        <w:spacing w:after="160" w:line="240" w:lineRule="auto"/>
        <w:contextualSpacing/>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L’élaboration progressive des différents Livres, Chapitres et/ou Sections du Manuel de procédures ; et le tout doit s’exécuter conjointement par les deux Experts engagés sur la même mission ; </w:t>
      </w:r>
    </w:p>
    <w:p w14:paraId="3320B23D" w14:textId="54288CB3" w:rsidR="00DD15DC" w:rsidRPr="00480CEF" w:rsidRDefault="00DD15DC" w:rsidP="00480CEF">
      <w:pPr>
        <w:widowControl/>
        <w:numPr>
          <w:ilvl w:val="0"/>
          <w:numId w:val="27"/>
        </w:numPr>
        <w:spacing w:after="160" w:line="240" w:lineRule="auto"/>
        <w:contextualSpacing/>
        <w:jc w:val="both"/>
        <w:rPr>
          <w:rFonts w:ascii="Palatino Linotype" w:eastAsia="Calibri" w:hAnsi="Palatino Linotype" w:cs="Times New Roman"/>
          <w:lang w:val="fr-FR"/>
        </w:rPr>
      </w:pPr>
      <w:r w:rsidRPr="00480CEF">
        <w:rPr>
          <w:rFonts w:ascii="Palatino Linotype" w:hAnsi="Palatino Linotype"/>
          <w:lang w:val="fr-FR"/>
        </w:rPr>
        <w:lastRenderedPageBreak/>
        <w:t>La communication ou la soumission du Manuel à décliner en plusieurs petits manuels aménagés en Livres/Chapitres fondés sur les différents domaines concernés de la Cour (cf. : Point IV : Périmètre de la mission) et recueil des recommandations pour son amélioration.</w:t>
      </w:r>
    </w:p>
    <w:p w14:paraId="32AA9E72" w14:textId="77777777" w:rsidR="00DD15DC" w:rsidRPr="00480CEF" w:rsidRDefault="00DD15DC" w:rsidP="00480CEF">
      <w:pPr>
        <w:widowControl/>
        <w:spacing w:after="160" w:line="240" w:lineRule="auto"/>
        <w:ind w:left="1080"/>
        <w:contextualSpacing/>
        <w:jc w:val="both"/>
        <w:rPr>
          <w:rFonts w:ascii="Palatino Linotype" w:eastAsia="Calibri" w:hAnsi="Palatino Linotype" w:cs="Times New Roman"/>
          <w:lang w:val="fr-FR"/>
        </w:rPr>
      </w:pPr>
    </w:p>
    <w:p w14:paraId="0887191A" w14:textId="355B5171" w:rsidR="00DD15DC" w:rsidRPr="00480CEF" w:rsidRDefault="00DD15DC" w:rsidP="00480CEF">
      <w:pPr>
        <w:pStyle w:val="ListParagraph"/>
        <w:widowControl/>
        <w:numPr>
          <w:ilvl w:val="0"/>
          <w:numId w:val="24"/>
        </w:numPr>
        <w:spacing w:after="0" w:line="240" w:lineRule="auto"/>
        <w:jc w:val="both"/>
        <w:rPr>
          <w:rFonts w:ascii="Palatino Linotype" w:eastAsia="MS Mincho" w:hAnsi="Palatino Linotype" w:cstheme="minorHAnsi"/>
          <w:b/>
          <w:u w:val="single"/>
          <w:lang w:val="fr-FR" w:eastAsia="ja-JP"/>
        </w:rPr>
      </w:pPr>
      <w:r w:rsidRPr="00480CEF">
        <w:rPr>
          <w:rFonts w:ascii="Palatino Linotype" w:eastAsia="MS Mincho" w:hAnsi="Palatino Linotype" w:cstheme="minorHAnsi"/>
          <w:b/>
          <w:u w:val="single"/>
          <w:lang w:val="fr-FR" w:eastAsia="ja-JP"/>
        </w:rPr>
        <w:t xml:space="preserve">METHODOLOGIE ADOPTEE </w:t>
      </w:r>
    </w:p>
    <w:p w14:paraId="0B502E67" w14:textId="77777777" w:rsidR="006050E9" w:rsidRPr="00480CEF" w:rsidRDefault="006050E9" w:rsidP="00480CEF">
      <w:pPr>
        <w:pStyle w:val="ListParagraph"/>
        <w:widowControl/>
        <w:spacing w:after="0" w:line="240" w:lineRule="auto"/>
        <w:jc w:val="both"/>
        <w:rPr>
          <w:rFonts w:ascii="Palatino Linotype" w:eastAsia="MS Mincho" w:hAnsi="Palatino Linotype" w:cstheme="minorHAnsi"/>
          <w:b/>
          <w:u w:val="single"/>
          <w:lang w:val="fr-FR" w:eastAsia="ja-JP"/>
        </w:rPr>
      </w:pPr>
    </w:p>
    <w:p w14:paraId="0D8C6CDB" w14:textId="4FF27101" w:rsidR="006050E9" w:rsidRPr="00480CEF" w:rsidRDefault="006050E9" w:rsidP="00480CEF">
      <w:pPr>
        <w:pStyle w:val="ListParagraph"/>
        <w:widowControl/>
        <w:spacing w:after="0" w:line="240" w:lineRule="auto"/>
        <w:jc w:val="both"/>
        <w:rPr>
          <w:rFonts w:ascii="Palatino Linotype" w:eastAsia="MS Mincho" w:hAnsi="Palatino Linotype" w:cstheme="minorHAnsi"/>
          <w:lang w:val="fr-FR" w:eastAsia="ja-JP"/>
        </w:rPr>
      </w:pPr>
      <w:r w:rsidRPr="00480CEF">
        <w:rPr>
          <w:rFonts w:ascii="Palatino Linotype" w:eastAsia="MS Mincho" w:hAnsi="Palatino Linotype" w:cstheme="minorHAnsi"/>
          <w:lang w:val="fr-FR" w:eastAsia="ja-JP"/>
        </w:rPr>
        <w:t xml:space="preserve">Pour atteindre les objectifs fixés de cette </w:t>
      </w:r>
      <w:r w:rsidR="006C44FD">
        <w:rPr>
          <w:rFonts w:ascii="Palatino Linotype" w:eastAsia="MS Mincho" w:hAnsi="Palatino Linotype" w:cstheme="minorHAnsi"/>
          <w:lang w:val="fr-FR" w:eastAsia="ja-JP"/>
        </w:rPr>
        <w:t>mission</w:t>
      </w:r>
      <w:r w:rsidRPr="00480CEF">
        <w:rPr>
          <w:rFonts w:ascii="Palatino Linotype" w:eastAsia="MS Mincho" w:hAnsi="Palatino Linotype" w:cstheme="minorHAnsi"/>
          <w:lang w:val="fr-FR" w:eastAsia="ja-JP"/>
        </w:rPr>
        <w:t>, les consultants devront finaliser les activités suivantes :</w:t>
      </w:r>
    </w:p>
    <w:p w14:paraId="552F2ADE" w14:textId="77777777" w:rsidR="006050E9" w:rsidRPr="00480CEF" w:rsidRDefault="006050E9" w:rsidP="00480CEF">
      <w:pPr>
        <w:pStyle w:val="ListParagraph"/>
        <w:widowControl/>
        <w:spacing w:after="0" w:line="240" w:lineRule="auto"/>
        <w:jc w:val="both"/>
        <w:rPr>
          <w:rFonts w:ascii="Palatino Linotype" w:eastAsia="MS Mincho" w:hAnsi="Palatino Linotype" w:cstheme="minorHAnsi"/>
          <w:b/>
          <w:bCs/>
          <w:u w:val="single"/>
          <w:lang w:val="fr-FR" w:eastAsia="ja-JP"/>
        </w:rPr>
      </w:pPr>
    </w:p>
    <w:p w14:paraId="08CDA4D9" w14:textId="77777777" w:rsidR="00DD15DC" w:rsidRPr="00480CEF" w:rsidRDefault="00DD15DC" w:rsidP="00480CEF">
      <w:pPr>
        <w:widowControl/>
        <w:spacing w:line="240" w:lineRule="auto"/>
        <w:rPr>
          <w:rFonts w:ascii="Palatino Linotype" w:eastAsia="Calibri" w:hAnsi="Palatino Linotype" w:cstheme="minorHAnsi"/>
          <w:b/>
          <w:bCs/>
          <w:u w:val="single"/>
          <w:lang w:val="fr-FR"/>
        </w:rPr>
      </w:pPr>
      <w:r w:rsidRPr="00480CEF">
        <w:rPr>
          <w:rFonts w:ascii="Palatino Linotype" w:eastAsia="Times New Roman" w:hAnsi="Palatino Linotype" w:cstheme="minorHAnsi"/>
          <w:b/>
          <w:bCs/>
          <w:color w:val="26282A"/>
          <w:u w:val="single"/>
          <w:lang w:val="fr-FR" w:eastAsia="fr-FR"/>
        </w:rPr>
        <w:t>Activités pouvant être réalisées à distance</w:t>
      </w:r>
      <w:r w:rsidRPr="00480CEF">
        <w:rPr>
          <w:rFonts w:ascii="Palatino Linotype" w:eastAsia="Calibri" w:hAnsi="Palatino Linotype" w:cstheme="minorHAnsi"/>
          <w:b/>
          <w:bCs/>
          <w:u w:val="single"/>
          <w:lang w:val="fr-FR"/>
        </w:rPr>
        <w:t xml:space="preserve"> </w:t>
      </w:r>
    </w:p>
    <w:p w14:paraId="5439BFB8" w14:textId="77777777" w:rsidR="00DD15DC" w:rsidRPr="00480CEF" w:rsidRDefault="00DD15DC" w:rsidP="00480CEF">
      <w:pPr>
        <w:widowControl/>
        <w:numPr>
          <w:ilvl w:val="0"/>
          <w:numId w:val="29"/>
        </w:numPr>
        <w:spacing w:line="240" w:lineRule="auto"/>
        <w:contextualSpacing/>
        <w:rPr>
          <w:rFonts w:ascii="Palatino Linotype" w:eastAsia="Calibri" w:hAnsi="Palatino Linotype" w:cstheme="minorHAnsi"/>
          <w:lang w:val="fr-FR"/>
        </w:rPr>
      </w:pPr>
      <w:r w:rsidRPr="00480CEF">
        <w:rPr>
          <w:rFonts w:ascii="Palatino Linotype" w:eastAsia="Calibri" w:hAnsi="Palatino Linotype" w:cstheme="minorHAnsi"/>
          <w:lang w:val="fr-FR"/>
        </w:rPr>
        <w:t xml:space="preserve">Réunion d’orientation et de clarification de la mission d’intervention avec les parties prenantes </w:t>
      </w:r>
    </w:p>
    <w:p w14:paraId="467CDA19" w14:textId="77777777" w:rsidR="00DD15DC" w:rsidRPr="00480CEF" w:rsidRDefault="00DD15DC" w:rsidP="00480CEF">
      <w:pPr>
        <w:widowControl/>
        <w:numPr>
          <w:ilvl w:val="0"/>
          <w:numId w:val="29"/>
        </w:numPr>
        <w:spacing w:line="240" w:lineRule="auto"/>
        <w:contextualSpacing/>
        <w:rPr>
          <w:rFonts w:ascii="Palatino Linotype" w:eastAsia="Calibri" w:hAnsi="Palatino Linotype" w:cstheme="minorHAnsi"/>
          <w:lang w:val="fr-FR"/>
        </w:rPr>
      </w:pPr>
      <w:r w:rsidRPr="00480CEF">
        <w:rPr>
          <w:rFonts w:ascii="Palatino Linotype" w:eastAsia="Calibri" w:hAnsi="Palatino Linotype" w:cstheme="minorHAnsi"/>
          <w:lang w:val="fr-FR"/>
        </w:rPr>
        <w:t xml:space="preserve">Elaboration du Guide méthodologique de travail présentant les processus de recueil, d’analyse, de traitement des données nécessaires à l’exécution de la mission et d’élaboration du Manuel </w:t>
      </w:r>
    </w:p>
    <w:p w14:paraId="3EC7CC45" w14:textId="77777777" w:rsidR="00DD15DC" w:rsidRPr="00480CEF" w:rsidRDefault="00DD15DC" w:rsidP="00480CEF">
      <w:pPr>
        <w:widowControl/>
        <w:numPr>
          <w:ilvl w:val="0"/>
          <w:numId w:val="29"/>
        </w:numPr>
        <w:spacing w:line="240" w:lineRule="auto"/>
        <w:contextualSpacing/>
        <w:rPr>
          <w:rFonts w:ascii="Palatino Linotype" w:eastAsia="Calibri" w:hAnsi="Palatino Linotype" w:cstheme="minorHAnsi"/>
          <w:lang w:val="fr-FR"/>
        </w:rPr>
      </w:pPr>
      <w:r w:rsidRPr="00480CEF">
        <w:rPr>
          <w:rFonts w:ascii="Palatino Linotype" w:eastAsia="Calibri" w:hAnsi="Palatino Linotype" w:cstheme="minorHAnsi"/>
          <w:lang w:val="fr-FR"/>
        </w:rPr>
        <w:t>Elaboration et présentation du plan de collecte d’informations ainsi que celui de rédaction des différentes Livres et Chapitres du Manuel</w:t>
      </w:r>
    </w:p>
    <w:p w14:paraId="11F44F15" w14:textId="77777777" w:rsidR="00DD15DC" w:rsidRPr="00480CEF" w:rsidRDefault="00DD15DC" w:rsidP="00480CEF">
      <w:pPr>
        <w:widowControl/>
        <w:numPr>
          <w:ilvl w:val="0"/>
          <w:numId w:val="29"/>
        </w:numPr>
        <w:spacing w:line="240" w:lineRule="auto"/>
        <w:contextualSpacing/>
        <w:rPr>
          <w:rFonts w:ascii="Palatino Linotype" w:eastAsia="Calibri" w:hAnsi="Palatino Linotype" w:cstheme="minorHAnsi"/>
          <w:lang w:val="fr-FR"/>
        </w:rPr>
      </w:pPr>
      <w:r w:rsidRPr="00480CEF">
        <w:rPr>
          <w:rFonts w:ascii="Palatino Linotype" w:eastAsia="Calibri" w:hAnsi="Palatino Linotype" w:cstheme="minorHAnsi"/>
          <w:lang w:val="fr-FR"/>
        </w:rPr>
        <w:t>Recensement et analyse de l’ensemble des instruments légaux et règlementaires en vigueur, des principes de gestion publique ou des normes professionnelles internationales applicables au domaine de la mission de la Cour</w:t>
      </w:r>
    </w:p>
    <w:p w14:paraId="648A8E33" w14:textId="77777777" w:rsidR="00DD15DC" w:rsidRPr="00480CEF" w:rsidRDefault="00DD15DC" w:rsidP="00480CEF">
      <w:pPr>
        <w:widowControl/>
        <w:numPr>
          <w:ilvl w:val="0"/>
          <w:numId w:val="29"/>
        </w:numPr>
        <w:spacing w:line="240" w:lineRule="auto"/>
        <w:contextualSpacing/>
        <w:rPr>
          <w:rFonts w:ascii="Palatino Linotype" w:eastAsia="Calibri" w:hAnsi="Palatino Linotype" w:cstheme="minorHAnsi"/>
          <w:lang w:val="fr-FR"/>
        </w:rPr>
      </w:pPr>
      <w:r w:rsidRPr="00480CEF">
        <w:rPr>
          <w:rFonts w:ascii="Palatino Linotype" w:eastAsia="Calibri" w:hAnsi="Palatino Linotype" w:cstheme="minorHAnsi"/>
          <w:lang w:val="fr-FR"/>
        </w:rPr>
        <w:t>Analyse de la description des postes et tâches des différentes entités techniques, administratives et organisationnelles de la Cour au regard des missions de celle-ci</w:t>
      </w:r>
    </w:p>
    <w:p w14:paraId="327E35DC" w14:textId="77777777" w:rsidR="00DD15DC" w:rsidRPr="00480CEF" w:rsidRDefault="00DD15DC" w:rsidP="00480CEF">
      <w:pPr>
        <w:widowControl/>
        <w:spacing w:line="240" w:lineRule="auto"/>
        <w:rPr>
          <w:rFonts w:ascii="Palatino Linotype" w:eastAsia="Calibri" w:hAnsi="Palatino Linotype" w:cstheme="minorHAnsi"/>
          <w:b/>
          <w:bCs/>
          <w:u w:val="single"/>
          <w:lang w:val="fr-FR"/>
        </w:rPr>
      </w:pPr>
      <w:r w:rsidRPr="00480CEF">
        <w:rPr>
          <w:rFonts w:ascii="Palatino Linotype" w:eastAsia="Calibri" w:hAnsi="Palatino Linotype" w:cstheme="minorHAnsi"/>
          <w:b/>
          <w:bCs/>
          <w:u w:val="single"/>
          <w:lang w:val="fr-FR"/>
        </w:rPr>
        <w:t>Livrables intermédiaires</w:t>
      </w:r>
    </w:p>
    <w:p w14:paraId="2EE51203" w14:textId="77777777" w:rsidR="00DD15DC" w:rsidRPr="00480CEF" w:rsidRDefault="00DD15DC" w:rsidP="00480CEF">
      <w:pPr>
        <w:widowControl/>
        <w:numPr>
          <w:ilvl w:val="0"/>
          <w:numId w:val="29"/>
        </w:numPr>
        <w:spacing w:line="240" w:lineRule="auto"/>
        <w:contextualSpacing/>
        <w:rPr>
          <w:rFonts w:ascii="Palatino Linotype" w:eastAsia="Calibri" w:hAnsi="Palatino Linotype" w:cstheme="minorHAnsi"/>
          <w:lang w:val="fr-FR"/>
        </w:rPr>
      </w:pPr>
      <w:r w:rsidRPr="00480CEF">
        <w:rPr>
          <w:rFonts w:ascii="Palatino Linotype" w:eastAsia="Calibri" w:hAnsi="Palatino Linotype" w:cstheme="minorHAnsi"/>
          <w:lang w:val="fr-FR"/>
        </w:rPr>
        <w:t>Compte rendu de la réunion d’orientation et de cadrage</w:t>
      </w:r>
    </w:p>
    <w:p w14:paraId="24F0D5CF" w14:textId="77777777" w:rsidR="00DD15DC" w:rsidRPr="00480CEF" w:rsidRDefault="00DD15DC" w:rsidP="00480CEF">
      <w:pPr>
        <w:widowControl/>
        <w:numPr>
          <w:ilvl w:val="0"/>
          <w:numId w:val="29"/>
        </w:numPr>
        <w:spacing w:line="240" w:lineRule="auto"/>
        <w:contextualSpacing/>
        <w:rPr>
          <w:rFonts w:ascii="Palatino Linotype" w:eastAsia="Calibri" w:hAnsi="Palatino Linotype" w:cstheme="minorHAnsi"/>
          <w:lang w:val="fr-FR"/>
        </w:rPr>
      </w:pPr>
      <w:r w:rsidRPr="00480CEF">
        <w:rPr>
          <w:rFonts w:ascii="Palatino Linotype" w:eastAsia="Calibri" w:hAnsi="Palatino Linotype" w:cstheme="minorHAnsi"/>
          <w:lang w:val="fr-FR"/>
        </w:rPr>
        <w:t xml:space="preserve">Guide méthodologique de travail présentant les processus de recueil, d’analyse, de traitement des données nécessaires à l’exécution de la mission et d’élaboration du Manuel </w:t>
      </w:r>
    </w:p>
    <w:p w14:paraId="46471C13" w14:textId="77777777" w:rsidR="00DD15DC" w:rsidRPr="00480CEF" w:rsidRDefault="00DD15DC" w:rsidP="00480CEF">
      <w:pPr>
        <w:widowControl/>
        <w:numPr>
          <w:ilvl w:val="0"/>
          <w:numId w:val="29"/>
        </w:numPr>
        <w:spacing w:line="240" w:lineRule="auto"/>
        <w:contextualSpacing/>
        <w:rPr>
          <w:rFonts w:ascii="Palatino Linotype" w:eastAsia="Calibri" w:hAnsi="Palatino Linotype" w:cstheme="minorHAnsi"/>
          <w:lang w:val="fr-FR"/>
        </w:rPr>
      </w:pPr>
      <w:r w:rsidRPr="00480CEF">
        <w:rPr>
          <w:rFonts w:ascii="Palatino Linotype" w:eastAsia="Calibri" w:hAnsi="Palatino Linotype" w:cstheme="minorHAnsi"/>
          <w:lang w:val="fr-FR"/>
        </w:rPr>
        <w:t xml:space="preserve">Plan de collecte d’informations </w:t>
      </w:r>
    </w:p>
    <w:p w14:paraId="310CCF62" w14:textId="77777777" w:rsidR="00DD15DC" w:rsidRPr="00480CEF" w:rsidRDefault="00DD15DC" w:rsidP="00480CEF">
      <w:pPr>
        <w:widowControl/>
        <w:numPr>
          <w:ilvl w:val="0"/>
          <w:numId w:val="29"/>
        </w:numPr>
        <w:spacing w:line="240" w:lineRule="auto"/>
        <w:contextualSpacing/>
        <w:rPr>
          <w:rFonts w:ascii="Palatino Linotype" w:eastAsia="Calibri" w:hAnsi="Palatino Linotype" w:cstheme="minorHAnsi"/>
          <w:lang w:val="fr-FR"/>
        </w:rPr>
      </w:pPr>
      <w:r w:rsidRPr="00480CEF">
        <w:rPr>
          <w:rFonts w:ascii="Palatino Linotype" w:eastAsia="Calibri" w:hAnsi="Palatino Linotype" w:cstheme="minorHAnsi"/>
          <w:lang w:val="fr-FR"/>
        </w:rPr>
        <w:t>Plan de rédaction des différentes Livres et Chapitres du Manuel</w:t>
      </w:r>
    </w:p>
    <w:p w14:paraId="537CAB35" w14:textId="77777777" w:rsidR="00DD15DC" w:rsidRPr="00480CEF" w:rsidRDefault="00DD15DC" w:rsidP="00480CEF">
      <w:pPr>
        <w:widowControl/>
        <w:numPr>
          <w:ilvl w:val="0"/>
          <w:numId w:val="29"/>
        </w:numPr>
        <w:spacing w:line="240" w:lineRule="auto"/>
        <w:contextualSpacing/>
        <w:rPr>
          <w:rFonts w:ascii="Palatino Linotype" w:eastAsia="Calibri" w:hAnsi="Palatino Linotype" w:cstheme="minorHAnsi"/>
          <w:lang w:val="fr-FR"/>
        </w:rPr>
      </w:pPr>
      <w:r w:rsidRPr="00480CEF">
        <w:rPr>
          <w:rFonts w:ascii="Palatino Linotype" w:eastAsia="Calibri" w:hAnsi="Palatino Linotype" w:cstheme="minorHAnsi"/>
          <w:lang w:val="fr-FR"/>
        </w:rPr>
        <w:t>Document d’analyse documentaire portant sur l’ensemble des instruments légaux et règlementaires en vigueur, des principes de gestion publique ou des normes professionnelles internationales applicables au domaine de la mission de la Cour</w:t>
      </w:r>
    </w:p>
    <w:p w14:paraId="70C0EA77" w14:textId="77777777" w:rsidR="00DD15DC" w:rsidRPr="00480CEF" w:rsidRDefault="00DD15DC" w:rsidP="00480CEF">
      <w:pPr>
        <w:widowControl/>
        <w:numPr>
          <w:ilvl w:val="0"/>
          <w:numId w:val="29"/>
        </w:numPr>
        <w:spacing w:line="240" w:lineRule="auto"/>
        <w:contextualSpacing/>
        <w:rPr>
          <w:rFonts w:ascii="Palatino Linotype" w:eastAsia="Calibri" w:hAnsi="Palatino Linotype" w:cstheme="minorHAnsi"/>
          <w:lang w:val="fr-FR"/>
        </w:rPr>
      </w:pPr>
      <w:r w:rsidRPr="00480CEF">
        <w:rPr>
          <w:rFonts w:ascii="Palatino Linotype" w:eastAsia="Calibri" w:hAnsi="Palatino Linotype" w:cstheme="minorHAnsi"/>
          <w:lang w:val="fr-FR"/>
        </w:rPr>
        <w:t>Rapport d’analyse de la description des postes et tâches des différentes entités techniques, administratives et organisationnelles de la Cour au regard des missions de celle-ci</w:t>
      </w:r>
    </w:p>
    <w:p w14:paraId="33EFCBBF" w14:textId="77777777" w:rsidR="00DD15DC" w:rsidRPr="00480CEF" w:rsidRDefault="00DD15DC" w:rsidP="00480CEF">
      <w:pPr>
        <w:widowControl/>
        <w:spacing w:line="240" w:lineRule="auto"/>
        <w:rPr>
          <w:rFonts w:ascii="Palatino Linotype" w:eastAsia="Times New Roman" w:hAnsi="Palatino Linotype" w:cstheme="minorHAnsi"/>
          <w:color w:val="26282A"/>
          <w:u w:val="single"/>
          <w:lang w:val="fr-FR" w:eastAsia="fr-FR"/>
        </w:rPr>
      </w:pPr>
      <w:r w:rsidRPr="00480CEF">
        <w:rPr>
          <w:rFonts w:ascii="Palatino Linotype" w:eastAsia="Times New Roman" w:hAnsi="Palatino Linotype" w:cstheme="minorHAnsi"/>
          <w:color w:val="26282A"/>
          <w:u w:val="single"/>
          <w:lang w:val="fr-FR" w:eastAsia="fr-FR"/>
        </w:rPr>
        <w:t>Activités post COVID</w:t>
      </w:r>
    </w:p>
    <w:p w14:paraId="11682340" w14:textId="77777777" w:rsidR="00DD15DC" w:rsidRPr="00480CEF" w:rsidRDefault="00DD15DC" w:rsidP="00480CEF">
      <w:pPr>
        <w:widowControl/>
        <w:numPr>
          <w:ilvl w:val="0"/>
          <w:numId w:val="29"/>
        </w:numPr>
        <w:spacing w:line="240" w:lineRule="auto"/>
        <w:contextualSpacing/>
        <w:rPr>
          <w:rFonts w:ascii="Palatino Linotype" w:eastAsia="Times New Roman" w:hAnsi="Palatino Linotype" w:cstheme="minorHAnsi"/>
          <w:color w:val="26282A"/>
          <w:lang w:val="fr-FR" w:eastAsia="fr-FR"/>
        </w:rPr>
      </w:pPr>
      <w:r w:rsidRPr="00480CEF">
        <w:rPr>
          <w:rFonts w:ascii="Palatino Linotype" w:eastAsia="Calibri" w:hAnsi="Palatino Linotype" w:cstheme="minorHAnsi"/>
          <w:lang w:val="fr-FR"/>
        </w:rPr>
        <w:t>Présentation du projet de Guide méthodologique pour observations en vue de son adaptation éventuelle aux besoins réels de l’institution identifiés</w:t>
      </w:r>
    </w:p>
    <w:p w14:paraId="631CFEF4" w14:textId="77777777" w:rsidR="00DD15DC" w:rsidRPr="00480CEF" w:rsidRDefault="00DD15DC" w:rsidP="00480CEF">
      <w:pPr>
        <w:widowControl/>
        <w:numPr>
          <w:ilvl w:val="0"/>
          <w:numId w:val="29"/>
        </w:numPr>
        <w:spacing w:line="240" w:lineRule="auto"/>
        <w:contextualSpacing/>
        <w:rPr>
          <w:rFonts w:ascii="Palatino Linotype" w:eastAsia="Times New Roman" w:hAnsi="Palatino Linotype" w:cstheme="minorHAnsi"/>
          <w:color w:val="26282A"/>
          <w:lang w:val="fr-FR" w:eastAsia="fr-FR"/>
        </w:rPr>
      </w:pPr>
      <w:r w:rsidRPr="00480CEF">
        <w:rPr>
          <w:rFonts w:ascii="Palatino Linotype" w:eastAsia="Calibri" w:hAnsi="Palatino Linotype" w:cstheme="minorHAnsi"/>
          <w:lang w:val="fr-FR"/>
        </w:rPr>
        <w:lastRenderedPageBreak/>
        <w:t>Rencontre de planification et de collecte d’informations avec les différentes entités techniques et/ou administratives de la Cour impliquées dans les tâches formant les principales opérations de fonctionnement et les corps de métiers la caractérisant</w:t>
      </w:r>
    </w:p>
    <w:p w14:paraId="6A6DB306" w14:textId="77777777" w:rsidR="00DD15DC" w:rsidRPr="00480CEF" w:rsidRDefault="00DD15DC" w:rsidP="00480CEF">
      <w:pPr>
        <w:widowControl/>
        <w:numPr>
          <w:ilvl w:val="0"/>
          <w:numId w:val="29"/>
        </w:numPr>
        <w:spacing w:line="240" w:lineRule="auto"/>
        <w:contextualSpacing/>
        <w:rPr>
          <w:rFonts w:ascii="Palatino Linotype" w:eastAsia="Times New Roman" w:hAnsi="Palatino Linotype" w:cstheme="minorHAnsi"/>
          <w:color w:val="26282A"/>
          <w:lang w:val="fr-FR" w:eastAsia="fr-FR"/>
        </w:rPr>
      </w:pPr>
      <w:r w:rsidRPr="00480CEF">
        <w:rPr>
          <w:rFonts w:ascii="Palatino Linotype" w:eastAsia="Calibri" w:hAnsi="Palatino Linotype" w:cstheme="minorHAnsi"/>
          <w:lang w:val="fr-FR"/>
        </w:rPr>
        <w:t>Collecte de données et/ou d’informations au moyen de l’observation sur le terrain du fonctionnement des entités techniques, administratives et organisationnelles, de groupes de discussions avec les Autorités ou entités concernées</w:t>
      </w:r>
    </w:p>
    <w:p w14:paraId="0D79EBF6" w14:textId="77777777" w:rsidR="00DD15DC" w:rsidRPr="00480CEF" w:rsidRDefault="00DD15DC" w:rsidP="00480CEF">
      <w:pPr>
        <w:widowControl/>
        <w:numPr>
          <w:ilvl w:val="0"/>
          <w:numId w:val="29"/>
        </w:numPr>
        <w:spacing w:line="240" w:lineRule="auto"/>
        <w:contextualSpacing/>
        <w:rPr>
          <w:rFonts w:ascii="Palatino Linotype" w:eastAsia="Times New Roman" w:hAnsi="Palatino Linotype" w:cstheme="minorHAnsi"/>
          <w:color w:val="26282A"/>
          <w:lang w:val="fr-FR" w:eastAsia="fr-FR"/>
        </w:rPr>
      </w:pPr>
      <w:r w:rsidRPr="00480CEF">
        <w:rPr>
          <w:rFonts w:ascii="Palatino Linotype" w:eastAsia="Calibri" w:hAnsi="Palatino Linotype" w:cstheme="minorHAnsi"/>
          <w:lang w:val="fr-FR"/>
        </w:rPr>
        <w:t>Comparaison des processus pratiqués par rapport aux modes d’interactions nécessaires conformes aux dispositions légales et règlementaires en vigueur entre les différentes entités techniques, administratives et organisationnelles de la Cour et/ou avec les autres parties prenantes externes de l’institution</w:t>
      </w:r>
    </w:p>
    <w:p w14:paraId="195DFCBC" w14:textId="77777777" w:rsidR="00DD15DC" w:rsidRPr="00480CEF" w:rsidRDefault="00DD15DC" w:rsidP="00480CEF">
      <w:pPr>
        <w:widowControl/>
        <w:numPr>
          <w:ilvl w:val="0"/>
          <w:numId w:val="29"/>
        </w:numPr>
        <w:spacing w:line="240" w:lineRule="auto"/>
        <w:contextualSpacing/>
        <w:rPr>
          <w:rFonts w:ascii="Palatino Linotype" w:eastAsia="Times New Roman" w:hAnsi="Palatino Linotype" w:cstheme="minorHAnsi"/>
          <w:color w:val="26282A"/>
          <w:lang w:val="fr-FR" w:eastAsia="fr-FR"/>
        </w:rPr>
      </w:pPr>
      <w:r w:rsidRPr="00480CEF">
        <w:rPr>
          <w:rFonts w:ascii="Palatino Linotype" w:eastAsia="Calibri" w:hAnsi="Palatino Linotype" w:cstheme="minorHAnsi"/>
          <w:lang w:val="fr-FR"/>
        </w:rPr>
        <w:t>Clarification et description du canal de communication formel entre les usagers des services de la Cour avec elle, ainsi que du type de relations entre les différentes parties prenantes internes de l’institution</w:t>
      </w:r>
    </w:p>
    <w:p w14:paraId="45B56CE6" w14:textId="77777777" w:rsidR="00DD15DC" w:rsidRPr="00480CEF" w:rsidRDefault="00DD15DC" w:rsidP="00480CEF">
      <w:pPr>
        <w:widowControl/>
        <w:numPr>
          <w:ilvl w:val="0"/>
          <w:numId w:val="29"/>
        </w:numPr>
        <w:spacing w:line="240" w:lineRule="auto"/>
        <w:contextualSpacing/>
        <w:rPr>
          <w:rFonts w:ascii="Palatino Linotype" w:eastAsia="Times New Roman" w:hAnsi="Palatino Linotype" w:cstheme="minorHAnsi"/>
          <w:color w:val="26282A"/>
          <w:lang w:val="fr-FR" w:eastAsia="fr-FR"/>
        </w:rPr>
      </w:pPr>
      <w:r w:rsidRPr="00480CEF">
        <w:rPr>
          <w:rFonts w:ascii="Palatino Linotype" w:eastAsia="Calibri" w:hAnsi="Palatino Linotype" w:cstheme="minorHAnsi"/>
          <w:lang w:val="fr-FR"/>
        </w:rPr>
        <w:t>Réalisation des confirmations de tâches ou d’activités des différentes entités techniques, administratives et organisationnelles de la Cour, incluant celles de leurs responsables respectifs ;</w:t>
      </w:r>
    </w:p>
    <w:p w14:paraId="5C1F7AA9" w14:textId="77777777" w:rsidR="00DD15DC" w:rsidRPr="00480CEF" w:rsidRDefault="00DD15DC" w:rsidP="00480CEF">
      <w:pPr>
        <w:widowControl/>
        <w:numPr>
          <w:ilvl w:val="0"/>
          <w:numId w:val="29"/>
        </w:numPr>
        <w:spacing w:line="240" w:lineRule="auto"/>
        <w:contextualSpacing/>
        <w:rPr>
          <w:rFonts w:ascii="Palatino Linotype" w:eastAsia="Times New Roman" w:hAnsi="Palatino Linotype" w:cstheme="minorHAnsi"/>
          <w:color w:val="26282A"/>
          <w:lang w:val="fr-FR" w:eastAsia="fr-FR"/>
        </w:rPr>
      </w:pPr>
      <w:r w:rsidRPr="00480CEF">
        <w:rPr>
          <w:rFonts w:ascii="Palatino Linotype" w:eastAsia="Calibri" w:hAnsi="Palatino Linotype" w:cstheme="minorHAnsi"/>
          <w:lang w:val="fr-FR"/>
        </w:rPr>
        <w:t xml:space="preserve">Mise en cohérence et en conformité des propositions de description de fonctions et de tâches à la Cour avec les dispositions légales et règlementaires nationales en vigueur ; </w:t>
      </w:r>
    </w:p>
    <w:p w14:paraId="3EB18DB2" w14:textId="77777777" w:rsidR="00DD15DC" w:rsidRPr="00480CEF" w:rsidRDefault="00DD15DC" w:rsidP="00480CEF">
      <w:pPr>
        <w:widowControl/>
        <w:numPr>
          <w:ilvl w:val="0"/>
          <w:numId w:val="29"/>
        </w:numPr>
        <w:spacing w:line="240" w:lineRule="auto"/>
        <w:contextualSpacing/>
        <w:rPr>
          <w:rFonts w:ascii="Palatino Linotype" w:eastAsia="Times New Roman" w:hAnsi="Palatino Linotype" w:cstheme="minorHAnsi"/>
          <w:color w:val="26282A"/>
          <w:lang w:val="fr-FR" w:eastAsia="fr-FR"/>
        </w:rPr>
      </w:pPr>
      <w:r w:rsidRPr="00480CEF">
        <w:rPr>
          <w:rFonts w:ascii="Palatino Linotype" w:eastAsia="Calibri" w:hAnsi="Palatino Linotype" w:cstheme="minorHAnsi"/>
          <w:lang w:val="fr-FR"/>
        </w:rPr>
        <w:t xml:space="preserve">Elaboration progressive des différents Livres, Chapitres et/ou Sections du Manuel de procédures </w:t>
      </w:r>
    </w:p>
    <w:p w14:paraId="3C95B982" w14:textId="77777777" w:rsidR="00DD15DC" w:rsidRPr="00480CEF" w:rsidRDefault="00DD15DC" w:rsidP="00480CEF">
      <w:pPr>
        <w:widowControl/>
        <w:numPr>
          <w:ilvl w:val="0"/>
          <w:numId w:val="29"/>
        </w:numPr>
        <w:spacing w:line="240" w:lineRule="auto"/>
        <w:contextualSpacing/>
        <w:rPr>
          <w:rFonts w:ascii="Palatino Linotype" w:eastAsia="Times New Roman" w:hAnsi="Palatino Linotype" w:cstheme="minorHAnsi"/>
          <w:color w:val="26282A"/>
          <w:lang w:val="fr-FR" w:eastAsia="fr-FR"/>
        </w:rPr>
      </w:pPr>
      <w:r w:rsidRPr="00480CEF">
        <w:rPr>
          <w:rFonts w:ascii="Palatino Linotype" w:eastAsia="Calibri" w:hAnsi="Palatino Linotype" w:cstheme="minorHAnsi"/>
          <w:lang w:val="fr-FR"/>
        </w:rPr>
        <w:t>Réviser le Manuel, Livres, Chapitres et Sections inclus, avec les justificatifs des choix et aménagements faits et en soumettre la version définitive en prenant en compte les observations et commentaires de la Cour</w:t>
      </w:r>
    </w:p>
    <w:p w14:paraId="56FA93E1" w14:textId="77777777" w:rsidR="00DD15DC" w:rsidRPr="00480CEF" w:rsidRDefault="00DD15DC" w:rsidP="00480CEF">
      <w:pPr>
        <w:widowControl/>
        <w:numPr>
          <w:ilvl w:val="0"/>
          <w:numId w:val="29"/>
        </w:numPr>
        <w:spacing w:line="240" w:lineRule="auto"/>
        <w:contextualSpacing/>
        <w:rPr>
          <w:rFonts w:ascii="Palatino Linotype" w:eastAsia="Times New Roman" w:hAnsi="Palatino Linotype" w:cstheme="minorHAnsi"/>
          <w:color w:val="26282A"/>
          <w:lang w:val="fr-FR" w:eastAsia="fr-FR"/>
        </w:rPr>
      </w:pPr>
      <w:r w:rsidRPr="00480CEF">
        <w:rPr>
          <w:rFonts w:ascii="Palatino Linotype" w:eastAsia="Calibri" w:hAnsi="Palatino Linotype" w:cstheme="minorHAnsi"/>
          <w:lang w:val="fr-FR"/>
        </w:rPr>
        <w:t>Rédiger et Soumettre, conjointement le Rapport de fin de mission incluant tous les produits livrés ainsi que le bilan et l’évaluation de la mission dans sa globalité avec les recommandations pour la mise en œuvre effective du Manuel</w:t>
      </w:r>
    </w:p>
    <w:p w14:paraId="66080EE7" w14:textId="77777777" w:rsidR="00DD15DC" w:rsidRPr="00480CEF" w:rsidRDefault="00DD15DC" w:rsidP="00480CEF">
      <w:pPr>
        <w:widowControl/>
        <w:spacing w:after="160" w:line="240" w:lineRule="auto"/>
        <w:contextualSpacing/>
        <w:jc w:val="both"/>
        <w:rPr>
          <w:rFonts w:ascii="Palatino Linotype" w:eastAsia="Calibri" w:hAnsi="Palatino Linotype" w:cs="Times New Roman"/>
          <w:lang w:val="fr-FR"/>
        </w:rPr>
      </w:pPr>
    </w:p>
    <w:p w14:paraId="5E30B0E6" w14:textId="77777777" w:rsidR="00DD15DC" w:rsidRPr="00480CEF" w:rsidRDefault="00DD15DC" w:rsidP="00480CEF">
      <w:pPr>
        <w:widowControl/>
        <w:spacing w:line="240" w:lineRule="auto"/>
        <w:jc w:val="both"/>
        <w:rPr>
          <w:rFonts w:ascii="Palatino Linotype" w:eastAsia="Calibri" w:hAnsi="Palatino Linotype" w:cs="Times New Roman"/>
          <w:b/>
          <w:bCs/>
          <w:lang w:val="fr-FR"/>
        </w:rPr>
      </w:pPr>
      <w:r w:rsidRPr="00480CEF">
        <w:rPr>
          <w:rFonts w:ascii="Palatino Linotype" w:eastAsia="Calibri" w:hAnsi="Palatino Linotype" w:cs="Times New Roman"/>
          <w:b/>
          <w:bCs/>
          <w:lang w:val="fr-FR"/>
        </w:rPr>
        <w:t xml:space="preserve">QUALIFICATIONS, COMPÉTENCES ET APTITUDES REQUISES DES EXPERTS  </w:t>
      </w:r>
    </w:p>
    <w:p w14:paraId="1F2ECD97" w14:textId="77777777" w:rsidR="006050E9" w:rsidRPr="00480CEF" w:rsidRDefault="00DD15DC" w:rsidP="00480CEF">
      <w:pPr>
        <w:widowControl/>
        <w:spacing w:after="160" w:line="240" w:lineRule="auto"/>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Les Experts recherchés pour la conduite de cette mission doivent présenter le profil et satisfaire aux compétences ci-dessous : </w:t>
      </w:r>
    </w:p>
    <w:p w14:paraId="375A12EA" w14:textId="1FC33757" w:rsidR="00DD15DC" w:rsidRPr="00480CEF" w:rsidRDefault="00DD15DC" w:rsidP="00480CEF">
      <w:pPr>
        <w:widowControl/>
        <w:spacing w:after="160" w:line="240" w:lineRule="auto"/>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Qualifications et expériences des Experts (tant nationaux qu’internationaux) </w:t>
      </w:r>
    </w:p>
    <w:p w14:paraId="15947F7D" w14:textId="77777777" w:rsidR="00DD15DC" w:rsidRPr="00480CEF" w:rsidRDefault="00DD15DC" w:rsidP="00480CEF">
      <w:pPr>
        <w:widowControl/>
        <w:numPr>
          <w:ilvl w:val="0"/>
          <w:numId w:val="31"/>
        </w:numPr>
        <w:spacing w:line="240" w:lineRule="auto"/>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Avoir, au moins, sept (7) ans d’expérience dans deux de ces domaines : administration publique, contrôle des finances publiques, droit administratif, contrôle juridictionnel, gestion financière et administrative, gestion des ressources humaines, Management et planification stratégique, contrôle et audit internes, ou suivi et évaluation de projets ;  </w:t>
      </w:r>
    </w:p>
    <w:p w14:paraId="7CEBA823" w14:textId="77777777" w:rsidR="00DD15DC" w:rsidRPr="00480CEF" w:rsidRDefault="00DD15DC" w:rsidP="00480CEF">
      <w:pPr>
        <w:widowControl/>
        <w:numPr>
          <w:ilvl w:val="0"/>
          <w:numId w:val="31"/>
        </w:numPr>
        <w:spacing w:line="240" w:lineRule="auto"/>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Détenir, au moins, un diplôme spécialisé de niveau BAC + 5 d’une Université reconnue (accréditée) ou un titre équivalent dans l’un des domaines ci-dessus ; </w:t>
      </w:r>
    </w:p>
    <w:p w14:paraId="779E3CB9" w14:textId="77777777" w:rsidR="00DD15DC" w:rsidRPr="00480CEF" w:rsidRDefault="00DD15DC" w:rsidP="00480CEF">
      <w:pPr>
        <w:widowControl/>
        <w:numPr>
          <w:ilvl w:val="0"/>
          <w:numId w:val="31"/>
        </w:numPr>
        <w:spacing w:line="240" w:lineRule="auto"/>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Être familier, par expérience, avec les Normes internationales des institutions supérieures de contrôle des finances publiques (ISSAI) et celles relatives à l’audit interne (IIA) et de contrôle interne (COSO) ; </w:t>
      </w:r>
    </w:p>
    <w:p w14:paraId="0C8C88B6" w14:textId="77777777" w:rsidR="00DD15DC" w:rsidRPr="00480CEF" w:rsidRDefault="00DD15DC" w:rsidP="00480CEF">
      <w:pPr>
        <w:widowControl/>
        <w:numPr>
          <w:ilvl w:val="0"/>
          <w:numId w:val="31"/>
        </w:numPr>
        <w:spacing w:line="240" w:lineRule="auto"/>
        <w:jc w:val="both"/>
        <w:rPr>
          <w:rFonts w:ascii="Palatino Linotype" w:eastAsia="Calibri" w:hAnsi="Palatino Linotype" w:cs="Times New Roman"/>
          <w:lang w:val="fr-FR"/>
        </w:rPr>
      </w:pPr>
      <w:r w:rsidRPr="00480CEF">
        <w:rPr>
          <w:rFonts w:ascii="Palatino Linotype" w:eastAsia="Calibri" w:hAnsi="Palatino Linotype" w:cs="Times New Roman"/>
          <w:lang w:val="fr-FR"/>
        </w:rPr>
        <w:lastRenderedPageBreak/>
        <w:t xml:space="preserve">Être un Expert hautement qualifié avec une expérience confirmée dans le contrôle des finances publiques, notamment dans l’audit de performance, la gestion administrative et financière, l’évaluation d’entreprise ou des structures administratives ; </w:t>
      </w:r>
    </w:p>
    <w:p w14:paraId="06655934" w14:textId="77777777" w:rsidR="00DD15DC" w:rsidRPr="00480CEF" w:rsidRDefault="00DD15DC" w:rsidP="00480CEF">
      <w:pPr>
        <w:widowControl/>
        <w:numPr>
          <w:ilvl w:val="0"/>
          <w:numId w:val="31"/>
        </w:numPr>
        <w:spacing w:line="240" w:lineRule="auto"/>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Posséder (Expert national) des compétences approfondies du système juridique haïtien par formation et l’expérience professionnelle dans l’administration publique nationale ; </w:t>
      </w:r>
    </w:p>
    <w:p w14:paraId="791BE45F" w14:textId="77777777" w:rsidR="00DD15DC" w:rsidRPr="00480CEF" w:rsidRDefault="00DD15DC" w:rsidP="00480CEF">
      <w:pPr>
        <w:widowControl/>
        <w:numPr>
          <w:ilvl w:val="0"/>
          <w:numId w:val="31"/>
        </w:numPr>
        <w:spacing w:line="240" w:lineRule="auto"/>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Avoir de bonnes connaissances en rédaction de rapports d’audit, d’évaluation de projets, en formation et en encadrement technique des personnels ; </w:t>
      </w:r>
    </w:p>
    <w:p w14:paraId="3E151177" w14:textId="77777777" w:rsidR="00DD15DC" w:rsidRPr="00480CEF" w:rsidRDefault="00DD15DC" w:rsidP="00480CEF">
      <w:pPr>
        <w:widowControl/>
        <w:numPr>
          <w:ilvl w:val="0"/>
          <w:numId w:val="31"/>
        </w:numPr>
        <w:spacing w:line="240" w:lineRule="auto"/>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Avoir déjà exécuté avec succès, au cours des cinq dernières années, des missions analogues ou équivalentes </w:t>
      </w:r>
    </w:p>
    <w:p w14:paraId="494BCCEF" w14:textId="3C3EC8C3" w:rsidR="00DD15DC" w:rsidRPr="00480CEF" w:rsidRDefault="00DD15DC" w:rsidP="00480CEF">
      <w:pPr>
        <w:widowControl/>
        <w:numPr>
          <w:ilvl w:val="0"/>
          <w:numId w:val="31"/>
        </w:numPr>
        <w:spacing w:line="240" w:lineRule="auto"/>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Maitriser, par formation et expérience de travail, le français parlé et écrit. </w:t>
      </w:r>
    </w:p>
    <w:p w14:paraId="4FA8A433" w14:textId="77777777" w:rsidR="006050E9" w:rsidRPr="00480CEF" w:rsidRDefault="006050E9" w:rsidP="00480CEF">
      <w:pPr>
        <w:widowControl/>
        <w:spacing w:line="240" w:lineRule="auto"/>
        <w:jc w:val="both"/>
        <w:rPr>
          <w:rFonts w:ascii="Palatino Linotype" w:eastAsia="Calibri" w:hAnsi="Palatino Linotype" w:cs="Times New Roman"/>
          <w:lang w:val="fr-FR"/>
        </w:rPr>
      </w:pPr>
    </w:p>
    <w:p w14:paraId="48F62E53" w14:textId="77777777" w:rsidR="006050E9" w:rsidRPr="00480CEF" w:rsidRDefault="006050E9" w:rsidP="00480CEF">
      <w:pPr>
        <w:pStyle w:val="ListParagraph"/>
        <w:widowControl/>
        <w:numPr>
          <w:ilvl w:val="0"/>
          <w:numId w:val="34"/>
        </w:numPr>
        <w:spacing w:line="240" w:lineRule="auto"/>
        <w:jc w:val="both"/>
        <w:rPr>
          <w:rFonts w:ascii="Palatino Linotype" w:eastAsia="Calibri" w:hAnsi="Palatino Linotype" w:cs="Times New Roman"/>
          <w:b/>
          <w:lang w:val="fr-FR"/>
        </w:rPr>
      </w:pPr>
      <w:r w:rsidRPr="00480CEF">
        <w:rPr>
          <w:rFonts w:ascii="Palatino Linotype" w:eastAsia="Calibri" w:hAnsi="Palatino Linotype" w:cs="Times New Roman"/>
          <w:b/>
          <w:lang w:val="fr-FR"/>
        </w:rPr>
        <w:t xml:space="preserve">CLAUSES DE CONFIDENTIALITÉ </w:t>
      </w:r>
    </w:p>
    <w:p w14:paraId="275C0AC8" w14:textId="77777777" w:rsidR="006050E9" w:rsidRPr="00480CEF" w:rsidRDefault="006050E9" w:rsidP="00480CEF">
      <w:pPr>
        <w:widowControl/>
        <w:spacing w:after="160" w:line="240" w:lineRule="auto"/>
        <w:jc w:val="both"/>
        <w:rPr>
          <w:rFonts w:ascii="Palatino Linotype" w:eastAsia="Calibri" w:hAnsi="Palatino Linotype" w:cs="Times New Roman"/>
          <w:lang w:val="fr-FR"/>
        </w:rPr>
      </w:pPr>
      <w:r w:rsidRPr="00480CEF">
        <w:rPr>
          <w:rFonts w:ascii="Palatino Linotype" w:eastAsia="Calibri" w:hAnsi="Palatino Linotype" w:cs="Times New Roman"/>
          <w:lang w:val="fr-FR"/>
        </w:rPr>
        <w:t xml:space="preserve">La documentation mise à la disposition des Experts pour la réalisation de leurs interventions, dans le cadre de cette mission, doit rester strictement confidentielle, à moins d’être déjà de l’ordre public. Les Experts ne sont pas habilités à l’utiliser à d’autres fins personnelles sous peine de poursuites judiciaires et même après la fin du contrat. </w:t>
      </w:r>
    </w:p>
    <w:p w14:paraId="558CC43A" w14:textId="77777777" w:rsidR="006050E9" w:rsidRPr="00480CEF" w:rsidRDefault="006050E9" w:rsidP="00480CEF">
      <w:pPr>
        <w:widowControl/>
        <w:numPr>
          <w:ilvl w:val="0"/>
          <w:numId w:val="30"/>
        </w:numPr>
        <w:spacing w:line="240" w:lineRule="auto"/>
        <w:ind w:left="1080"/>
        <w:jc w:val="both"/>
        <w:rPr>
          <w:rFonts w:ascii="Palatino Linotype" w:eastAsia="Calibri" w:hAnsi="Palatino Linotype" w:cs="Times New Roman"/>
          <w:b/>
          <w:lang w:val="fr-FR"/>
        </w:rPr>
      </w:pPr>
      <w:r w:rsidRPr="00480CEF">
        <w:rPr>
          <w:rFonts w:ascii="Palatino Linotype" w:eastAsia="Calibri" w:hAnsi="Palatino Linotype" w:cs="Times New Roman"/>
          <w:b/>
          <w:lang w:val="fr-FR"/>
        </w:rPr>
        <w:t xml:space="preserve">DURÉE ET LIEU D’EXÉCUTION </w:t>
      </w:r>
    </w:p>
    <w:p w14:paraId="1450D923" w14:textId="77777777" w:rsidR="006050E9" w:rsidRPr="00480CEF" w:rsidRDefault="006050E9" w:rsidP="00480CEF">
      <w:pPr>
        <w:widowControl/>
        <w:spacing w:after="160" w:line="240" w:lineRule="auto"/>
        <w:jc w:val="both"/>
        <w:rPr>
          <w:rFonts w:ascii="Palatino Linotype" w:eastAsia="Calibri" w:hAnsi="Palatino Linotype" w:cs="Times New Roman"/>
          <w:bCs/>
          <w:lang w:val="fr-FR"/>
        </w:rPr>
      </w:pPr>
      <w:r w:rsidRPr="00480CEF">
        <w:rPr>
          <w:rFonts w:ascii="Palatino Linotype" w:eastAsia="Calibri" w:hAnsi="Palatino Linotype" w:cs="Times New Roman"/>
          <w:b/>
          <w:u w:val="single"/>
          <w:lang w:val="fr-FR"/>
        </w:rPr>
        <w:t>La durée totale de la mission est de Soixante-dix (70) jours</w:t>
      </w:r>
      <w:r w:rsidRPr="00480CEF">
        <w:rPr>
          <w:rFonts w:ascii="Palatino Linotype" w:eastAsia="Calibri" w:hAnsi="Palatino Linotype" w:cs="Times New Roman"/>
          <w:bCs/>
          <w:lang w:val="fr-FR"/>
        </w:rPr>
        <w:t xml:space="preserve"> non consécutifs dont </w:t>
      </w:r>
      <w:r w:rsidRPr="00480CEF">
        <w:rPr>
          <w:rFonts w:ascii="Palatino Linotype" w:eastAsia="Calibri" w:hAnsi="Palatino Linotype" w:cs="Times New Roman"/>
          <w:b/>
          <w:bCs/>
          <w:lang w:val="fr-FR"/>
        </w:rPr>
        <w:t>certains sont jours facturables</w:t>
      </w:r>
      <w:r w:rsidRPr="00480CEF">
        <w:rPr>
          <w:rFonts w:ascii="Palatino Linotype" w:eastAsia="Calibri" w:hAnsi="Palatino Linotype" w:cs="Times New Roman"/>
          <w:bCs/>
          <w:lang w:val="fr-FR"/>
        </w:rPr>
        <w:t xml:space="preserve"> sur place et d’autres le sont à distance pour un Expert international. Elle se répartit en phases de planification conjointe de la mission entre les Experts appelés à réaliser les opérations en collaboration. Le lieu de travail est à Port-au-Prince et, le cas échéant, dans certaines villes de province.</w:t>
      </w:r>
    </w:p>
    <w:p w14:paraId="27483C8D" w14:textId="6C65FB7B" w:rsidR="006050E9" w:rsidRPr="00480CEF" w:rsidRDefault="006050E9" w:rsidP="00480CEF">
      <w:pPr>
        <w:widowControl/>
        <w:spacing w:after="160" w:line="240" w:lineRule="auto"/>
        <w:jc w:val="both"/>
        <w:rPr>
          <w:rFonts w:ascii="Palatino Linotype" w:eastAsia="Calibri" w:hAnsi="Palatino Linotype" w:cs="Times New Roman"/>
          <w:b/>
          <w:bCs/>
          <w:i/>
          <w:iCs/>
          <w:color w:val="FF0000"/>
          <w:u w:val="single"/>
          <w:lang w:val="fr-FR"/>
        </w:rPr>
      </w:pPr>
      <w:r w:rsidRPr="00480CEF">
        <w:rPr>
          <w:rFonts w:ascii="Palatino Linotype" w:eastAsia="Calibri" w:hAnsi="Palatino Linotype" w:cs="Times New Roman"/>
          <w:b/>
          <w:bCs/>
          <w:i/>
          <w:iCs/>
          <w:color w:val="FF0000"/>
          <w:u w:val="single"/>
          <w:lang w:val="fr-FR"/>
        </w:rPr>
        <w:t>NOTES : Tant que la situation de COVID 19 ne le permettra pas, le démarrage des activités sera en attente.</w:t>
      </w:r>
    </w:p>
    <w:p w14:paraId="4B6E7DDD" w14:textId="77777777" w:rsidR="006050E9" w:rsidRPr="00480CEF" w:rsidRDefault="006050E9" w:rsidP="00480CEF">
      <w:pPr>
        <w:pStyle w:val="ListParagraph"/>
        <w:keepNext/>
        <w:widowControl/>
        <w:numPr>
          <w:ilvl w:val="0"/>
          <w:numId w:val="7"/>
        </w:numPr>
        <w:spacing w:after="0" w:line="240" w:lineRule="auto"/>
        <w:jc w:val="both"/>
        <w:outlineLvl w:val="0"/>
        <w:rPr>
          <w:rFonts w:ascii="Palatino Linotype" w:eastAsia="Times New Roman" w:hAnsi="Palatino Linotype" w:cs="Arial"/>
          <w:snapToGrid w:val="0"/>
          <w:kern w:val="32"/>
          <w:u w:val="single"/>
          <w:lang w:val="fr-FR"/>
        </w:rPr>
      </w:pPr>
      <w:r w:rsidRPr="00480CEF">
        <w:rPr>
          <w:rFonts w:ascii="Palatino Linotype" w:eastAsia="Times New Roman" w:hAnsi="Palatino Linotype" w:cs="Arial"/>
          <w:b/>
          <w:bCs/>
          <w:snapToGrid w:val="0"/>
          <w:kern w:val="32"/>
          <w:u w:val="single"/>
          <w:lang w:val="fr-FR"/>
        </w:rPr>
        <w:t xml:space="preserve">INFORMATIONS SUR LA SOUMISSION </w:t>
      </w:r>
    </w:p>
    <w:p w14:paraId="68DF67A4" w14:textId="77777777" w:rsidR="006050E9" w:rsidRPr="00480CEF" w:rsidRDefault="006050E9" w:rsidP="00480CEF">
      <w:pPr>
        <w:autoSpaceDE w:val="0"/>
        <w:autoSpaceDN w:val="0"/>
        <w:adjustRightInd w:val="0"/>
        <w:spacing w:after="0" w:line="240" w:lineRule="auto"/>
        <w:ind w:left="58"/>
        <w:rPr>
          <w:rFonts w:ascii="Palatino Linotype" w:eastAsia="Calibri" w:hAnsi="Palatino Linotype" w:cs="Times New Roman"/>
          <w:b/>
          <w:bCs/>
          <w:lang w:val="fr-FR"/>
        </w:rPr>
      </w:pPr>
    </w:p>
    <w:p w14:paraId="5D97EF0B" w14:textId="77777777" w:rsidR="006050E9" w:rsidRPr="00480CEF" w:rsidRDefault="006050E9" w:rsidP="00480CEF">
      <w:pPr>
        <w:autoSpaceDE w:val="0"/>
        <w:autoSpaceDN w:val="0"/>
        <w:adjustRightInd w:val="0"/>
        <w:spacing w:after="0" w:line="240" w:lineRule="auto"/>
        <w:ind w:left="58"/>
        <w:rPr>
          <w:rFonts w:ascii="Palatino Linotype" w:eastAsia="Calibri" w:hAnsi="Palatino Linotype" w:cs="Times New Roman"/>
          <w:b/>
          <w:bCs/>
          <w:lang w:val="fr-FR"/>
        </w:rPr>
      </w:pPr>
      <w:r w:rsidRPr="00480CEF">
        <w:rPr>
          <w:rFonts w:ascii="Palatino Linotype" w:eastAsia="Calibri" w:hAnsi="Palatino Linotype" w:cs="Times New Roman"/>
          <w:b/>
          <w:bCs/>
          <w:lang w:val="fr-FR"/>
        </w:rPr>
        <w:t>Veuillez soumettre :</w:t>
      </w:r>
    </w:p>
    <w:p w14:paraId="28BA6B7D" w14:textId="77777777" w:rsidR="006050E9" w:rsidRPr="00480CEF" w:rsidRDefault="006050E9" w:rsidP="00480CEF">
      <w:pPr>
        <w:pStyle w:val="ListParagraph"/>
        <w:numPr>
          <w:ilvl w:val="0"/>
          <w:numId w:val="8"/>
        </w:numPr>
        <w:autoSpaceDE w:val="0"/>
        <w:autoSpaceDN w:val="0"/>
        <w:adjustRightInd w:val="0"/>
        <w:spacing w:after="0" w:line="240" w:lineRule="auto"/>
        <w:rPr>
          <w:rFonts w:ascii="Palatino Linotype" w:eastAsia="Calibri" w:hAnsi="Palatino Linotype" w:cs="Times New Roman"/>
          <w:lang w:val="fr-FR"/>
        </w:rPr>
      </w:pPr>
      <w:r w:rsidRPr="00480CEF">
        <w:rPr>
          <w:rFonts w:ascii="Palatino Linotype" w:eastAsia="Calibri" w:hAnsi="Palatino Linotype" w:cs="Times New Roman"/>
          <w:lang w:val="fr-FR"/>
        </w:rPr>
        <w:t>Un curriculum vitae (CV)</w:t>
      </w:r>
    </w:p>
    <w:p w14:paraId="12BA62DE" w14:textId="77777777" w:rsidR="006050E9" w:rsidRPr="00480CEF" w:rsidRDefault="006050E9" w:rsidP="00480CEF">
      <w:pPr>
        <w:pStyle w:val="ListParagraph"/>
        <w:numPr>
          <w:ilvl w:val="0"/>
          <w:numId w:val="8"/>
        </w:numPr>
        <w:autoSpaceDE w:val="0"/>
        <w:autoSpaceDN w:val="0"/>
        <w:adjustRightInd w:val="0"/>
        <w:spacing w:after="0" w:line="240" w:lineRule="auto"/>
        <w:rPr>
          <w:rFonts w:ascii="Palatino Linotype" w:eastAsia="Calibri" w:hAnsi="Palatino Linotype" w:cs="Times New Roman"/>
          <w:lang w:val="fr-FR"/>
        </w:rPr>
      </w:pPr>
      <w:r w:rsidRPr="00480CEF">
        <w:rPr>
          <w:rFonts w:ascii="Palatino Linotype" w:eastAsia="Calibri" w:hAnsi="Palatino Linotype" w:cs="Times New Roman"/>
          <w:lang w:val="fr-FR"/>
        </w:rPr>
        <w:t>Une lettre de motivation et une proposition technique d'une page comprenant un résumé de vos qualifications, les étapes proposées nécessaires pour mener à bien le travail, les principales entités à consulter au cours du processus et le calendrier proposé</w:t>
      </w:r>
    </w:p>
    <w:p w14:paraId="136FAAEE" w14:textId="77777777" w:rsidR="006050E9" w:rsidRPr="00480CEF" w:rsidRDefault="006050E9" w:rsidP="00480CEF">
      <w:pPr>
        <w:autoSpaceDE w:val="0"/>
        <w:autoSpaceDN w:val="0"/>
        <w:adjustRightInd w:val="0"/>
        <w:spacing w:after="0" w:line="240" w:lineRule="auto"/>
        <w:ind w:left="58"/>
        <w:rPr>
          <w:rFonts w:ascii="Palatino Linotype" w:eastAsia="Calibri" w:hAnsi="Palatino Linotype" w:cs="Times New Roman"/>
          <w:b/>
          <w:bCs/>
          <w:lang w:val="fr-FR"/>
        </w:rPr>
      </w:pPr>
      <w:r w:rsidRPr="00480CEF">
        <w:rPr>
          <w:rFonts w:ascii="Palatino Linotype" w:eastAsia="Calibri" w:hAnsi="Palatino Linotype" w:cs="Times New Roman"/>
          <w:b/>
          <w:bCs/>
          <w:lang w:val="fr-FR"/>
        </w:rPr>
        <w:t xml:space="preserve"> </w:t>
      </w:r>
    </w:p>
    <w:p w14:paraId="40F9B911" w14:textId="54C6AC0B" w:rsidR="00023370" w:rsidRDefault="00754082" w:rsidP="00023370">
      <w:proofErr w:type="spellStart"/>
      <w:r w:rsidRPr="00842597">
        <w:rPr>
          <w:b/>
          <w:bCs/>
        </w:rPr>
        <w:t>P</w:t>
      </w:r>
      <w:r>
        <w:rPr>
          <w:b/>
          <w:bCs/>
        </w:rPr>
        <w:t>riere</w:t>
      </w:r>
      <w:proofErr w:type="spellEnd"/>
      <w:r>
        <w:rPr>
          <w:b/>
          <w:bCs/>
        </w:rPr>
        <w:t xml:space="preserve"> de </w:t>
      </w:r>
      <w:proofErr w:type="spellStart"/>
      <w:r>
        <w:rPr>
          <w:b/>
          <w:bCs/>
        </w:rPr>
        <w:t>soumettre</w:t>
      </w:r>
      <w:proofErr w:type="spellEnd"/>
      <w:r>
        <w:rPr>
          <w:b/>
          <w:bCs/>
        </w:rPr>
        <w:t xml:space="preserve"> </w:t>
      </w:r>
      <w:proofErr w:type="spellStart"/>
      <w:r>
        <w:rPr>
          <w:b/>
          <w:bCs/>
        </w:rPr>
        <w:t>votre</w:t>
      </w:r>
      <w:proofErr w:type="spellEnd"/>
      <w:r>
        <w:rPr>
          <w:b/>
          <w:bCs/>
        </w:rPr>
        <w:t xml:space="preserve"> application le </w:t>
      </w:r>
      <w:r w:rsidR="00E456F8">
        <w:rPr>
          <w:b/>
          <w:bCs/>
        </w:rPr>
        <w:t xml:space="preserve">13 </w:t>
      </w:r>
      <w:proofErr w:type="spellStart"/>
      <w:r w:rsidR="00E456F8">
        <w:rPr>
          <w:b/>
          <w:bCs/>
        </w:rPr>
        <w:t>Aout</w:t>
      </w:r>
      <w:proofErr w:type="spellEnd"/>
      <w:r>
        <w:rPr>
          <w:b/>
          <w:bCs/>
        </w:rPr>
        <w:t xml:space="preserve"> 2020 au plus </w:t>
      </w:r>
      <w:proofErr w:type="gramStart"/>
      <w:r>
        <w:rPr>
          <w:b/>
          <w:bCs/>
        </w:rPr>
        <w:t>tard</w:t>
      </w:r>
      <w:proofErr w:type="gramEnd"/>
      <w:r w:rsidR="00023370" w:rsidRPr="00023370">
        <w:rPr>
          <w:b/>
          <w:bCs/>
        </w:rPr>
        <w:t>.</w:t>
      </w:r>
      <w:r w:rsidR="00023370">
        <w:rPr>
          <w:b/>
          <w:bCs/>
        </w:rPr>
        <w:t xml:space="preserve"> Les dossiers de candidature </w:t>
      </w:r>
      <w:proofErr w:type="spellStart"/>
      <w:r w:rsidR="00023370">
        <w:rPr>
          <w:b/>
          <w:bCs/>
        </w:rPr>
        <w:t>doivent</w:t>
      </w:r>
      <w:proofErr w:type="spellEnd"/>
      <w:r w:rsidR="00023370">
        <w:rPr>
          <w:b/>
          <w:bCs/>
        </w:rPr>
        <w:t xml:space="preserve"> </w:t>
      </w:r>
      <w:proofErr w:type="spellStart"/>
      <w:r w:rsidR="00023370">
        <w:rPr>
          <w:b/>
          <w:bCs/>
        </w:rPr>
        <w:t>être</w:t>
      </w:r>
      <w:proofErr w:type="spellEnd"/>
      <w:r w:rsidR="00023370">
        <w:rPr>
          <w:b/>
          <w:bCs/>
        </w:rPr>
        <w:t xml:space="preserve"> </w:t>
      </w:r>
      <w:proofErr w:type="spellStart"/>
      <w:r w:rsidR="00023370">
        <w:rPr>
          <w:b/>
          <w:bCs/>
        </w:rPr>
        <w:t>soumis</w:t>
      </w:r>
      <w:proofErr w:type="spellEnd"/>
      <w:r w:rsidR="00023370">
        <w:rPr>
          <w:b/>
          <w:bCs/>
        </w:rPr>
        <w:t xml:space="preserve"> </w:t>
      </w:r>
      <w:proofErr w:type="spellStart"/>
      <w:r w:rsidR="00023370">
        <w:rPr>
          <w:b/>
          <w:bCs/>
        </w:rPr>
        <w:t>uniquement</w:t>
      </w:r>
      <w:proofErr w:type="spellEnd"/>
      <w:r w:rsidR="00023370">
        <w:rPr>
          <w:b/>
          <w:bCs/>
        </w:rPr>
        <w:t xml:space="preserve"> par </w:t>
      </w:r>
      <w:proofErr w:type="spellStart"/>
      <w:r w:rsidR="00023370">
        <w:rPr>
          <w:b/>
          <w:bCs/>
        </w:rPr>
        <w:t>courrier</w:t>
      </w:r>
      <w:proofErr w:type="spellEnd"/>
      <w:r w:rsidR="00023370">
        <w:rPr>
          <w:b/>
          <w:bCs/>
        </w:rPr>
        <w:t xml:space="preserve"> </w:t>
      </w:r>
      <w:proofErr w:type="spellStart"/>
      <w:r w:rsidR="00023370">
        <w:rPr>
          <w:b/>
          <w:bCs/>
        </w:rPr>
        <w:t>électronique</w:t>
      </w:r>
      <w:proofErr w:type="spellEnd"/>
      <w:r w:rsidR="00023370">
        <w:rPr>
          <w:b/>
          <w:bCs/>
        </w:rPr>
        <w:t xml:space="preserve"> à : </w:t>
      </w:r>
      <w:hyperlink r:id="rId10" w:history="1">
        <w:r w:rsidR="00023370">
          <w:rPr>
            <w:rStyle w:val="Hyperlink"/>
            <w:b/>
            <w:bCs/>
          </w:rPr>
          <w:t>procurement@ht.gere.rti.org</w:t>
        </w:r>
      </w:hyperlink>
      <w:r w:rsidR="00023370">
        <w:rPr>
          <w:b/>
          <w:bCs/>
        </w:rPr>
        <w:t xml:space="preserve"> </w:t>
      </w:r>
      <w:proofErr w:type="spellStart"/>
      <w:r w:rsidR="00023370">
        <w:rPr>
          <w:b/>
          <w:bCs/>
        </w:rPr>
        <w:t>en</w:t>
      </w:r>
      <w:proofErr w:type="spellEnd"/>
      <w:r w:rsidR="00023370">
        <w:rPr>
          <w:b/>
          <w:bCs/>
        </w:rPr>
        <w:t xml:space="preserve"> </w:t>
      </w:r>
      <w:proofErr w:type="spellStart"/>
      <w:r w:rsidR="00023370">
        <w:rPr>
          <w:b/>
          <w:bCs/>
        </w:rPr>
        <w:t>indiquant</w:t>
      </w:r>
      <w:proofErr w:type="spellEnd"/>
      <w:r w:rsidR="00023370">
        <w:rPr>
          <w:b/>
          <w:bCs/>
        </w:rPr>
        <w:t xml:space="preserve"> le </w:t>
      </w:r>
      <w:proofErr w:type="spellStart"/>
      <w:r w:rsidR="00023370">
        <w:rPr>
          <w:b/>
          <w:bCs/>
        </w:rPr>
        <w:t>Numéro</w:t>
      </w:r>
      <w:proofErr w:type="spellEnd"/>
      <w:r w:rsidR="00023370">
        <w:rPr>
          <w:b/>
          <w:bCs/>
        </w:rPr>
        <w:t xml:space="preserve"> de </w:t>
      </w:r>
      <w:proofErr w:type="spellStart"/>
      <w:r w:rsidR="00023370">
        <w:rPr>
          <w:b/>
          <w:bCs/>
        </w:rPr>
        <w:t>l’Offre</w:t>
      </w:r>
      <w:proofErr w:type="spellEnd"/>
      <w:r w:rsidR="00023370">
        <w:rPr>
          <w:b/>
          <w:bCs/>
        </w:rPr>
        <w:t># FY20 -00</w:t>
      </w:r>
      <w:r w:rsidR="002B4E49">
        <w:rPr>
          <w:b/>
          <w:bCs/>
        </w:rPr>
        <w:t>13</w:t>
      </w:r>
      <w:r w:rsidR="00023370">
        <w:t>.</w:t>
      </w:r>
    </w:p>
    <w:p w14:paraId="678C1A56" w14:textId="7D870C8F" w:rsidR="00325812" w:rsidRPr="006B13D8" w:rsidRDefault="00325812" w:rsidP="00023370">
      <w:pPr>
        <w:widowControl/>
        <w:spacing w:after="0" w:line="240" w:lineRule="auto"/>
        <w:rPr>
          <w:rFonts w:ascii="Palatino Linotype" w:eastAsia="Calibri" w:hAnsi="Palatino Linotype" w:cs="Times New Roman"/>
          <w:bCs/>
          <w:color w:val="FF0000"/>
          <w:u w:val="single"/>
          <w:lang w:val="fr-FR"/>
        </w:rPr>
      </w:pPr>
    </w:p>
    <w:sectPr w:rsidR="00325812" w:rsidRPr="006B13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62444" w14:textId="77777777" w:rsidR="00373E48" w:rsidRDefault="00373E48" w:rsidP="00D65930">
      <w:pPr>
        <w:spacing w:after="0" w:line="240" w:lineRule="auto"/>
      </w:pPr>
      <w:r>
        <w:separator/>
      </w:r>
    </w:p>
  </w:endnote>
  <w:endnote w:type="continuationSeparator" w:id="0">
    <w:p w14:paraId="1E5B0C93" w14:textId="77777777" w:rsidR="00373E48" w:rsidRDefault="00373E48" w:rsidP="00D65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13A9F" w14:textId="77777777" w:rsidR="00373E48" w:rsidRDefault="00373E48" w:rsidP="00D65930">
      <w:pPr>
        <w:spacing w:after="0" w:line="240" w:lineRule="auto"/>
      </w:pPr>
      <w:r>
        <w:separator/>
      </w:r>
    </w:p>
  </w:footnote>
  <w:footnote w:type="continuationSeparator" w:id="0">
    <w:p w14:paraId="5F5634D8" w14:textId="77777777" w:rsidR="00373E48" w:rsidRDefault="00373E48" w:rsidP="00D65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03C8"/>
    <w:multiLevelType w:val="hybridMultilevel"/>
    <w:tmpl w:val="860CEE4E"/>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8E1EC6"/>
    <w:multiLevelType w:val="hybridMultilevel"/>
    <w:tmpl w:val="9E409570"/>
    <w:lvl w:ilvl="0" w:tplc="12BAE25A">
      <w:start w:val="1"/>
      <w:numFmt w:val="lowerLetter"/>
      <w:lvlText w:val="%1."/>
      <w:lvlJc w:val="left"/>
      <w:pPr>
        <w:ind w:left="1080" w:hanging="360"/>
      </w:pPr>
      <w:rPr>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D13559"/>
    <w:multiLevelType w:val="hybridMultilevel"/>
    <w:tmpl w:val="AFDE8500"/>
    <w:lvl w:ilvl="0" w:tplc="C10EB656">
      <w:start w:val="1"/>
      <w:numFmt w:val="lowerLetter"/>
      <w:lvlText w:val="%1."/>
      <w:lvlJc w:val="left"/>
      <w:pPr>
        <w:ind w:left="1080" w:hanging="360"/>
      </w:pPr>
      <w:rPr>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A5F1A2F"/>
    <w:multiLevelType w:val="hybridMultilevel"/>
    <w:tmpl w:val="77149E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56AA5"/>
    <w:multiLevelType w:val="hybridMultilevel"/>
    <w:tmpl w:val="A81CDC1A"/>
    <w:lvl w:ilvl="0" w:tplc="00422FAE">
      <w:start w:val="1"/>
      <w:numFmt w:val="bullet"/>
      <w:lvlText w:val=""/>
      <w:lvlJc w:val="left"/>
      <w:pPr>
        <w:ind w:left="576" w:hanging="216"/>
      </w:pPr>
      <w:rPr>
        <w:rFonts w:ascii="Symbol" w:hAnsi="Symbol" w:hint="default"/>
      </w:rPr>
    </w:lvl>
    <w:lvl w:ilvl="1" w:tplc="040C0003" w:tentative="1">
      <w:start w:val="1"/>
      <w:numFmt w:val="bullet"/>
      <w:lvlText w:val="o"/>
      <w:lvlJc w:val="left"/>
      <w:pPr>
        <w:ind w:left="810" w:hanging="360"/>
      </w:pPr>
      <w:rPr>
        <w:rFonts w:ascii="Courier New" w:hAnsi="Courier New" w:cs="Courier New" w:hint="default"/>
      </w:rPr>
    </w:lvl>
    <w:lvl w:ilvl="2" w:tplc="040C0005">
      <w:start w:val="1"/>
      <w:numFmt w:val="bullet"/>
      <w:lvlText w:val=""/>
      <w:lvlJc w:val="left"/>
      <w:pPr>
        <w:ind w:left="1530" w:hanging="360"/>
      </w:pPr>
      <w:rPr>
        <w:rFonts w:ascii="Wingdings" w:hAnsi="Wingdings" w:hint="default"/>
      </w:rPr>
    </w:lvl>
    <w:lvl w:ilvl="3" w:tplc="040C0001" w:tentative="1">
      <w:start w:val="1"/>
      <w:numFmt w:val="bullet"/>
      <w:lvlText w:val=""/>
      <w:lvlJc w:val="left"/>
      <w:pPr>
        <w:ind w:left="2250" w:hanging="360"/>
      </w:pPr>
      <w:rPr>
        <w:rFonts w:ascii="Symbol" w:hAnsi="Symbol" w:hint="default"/>
      </w:rPr>
    </w:lvl>
    <w:lvl w:ilvl="4" w:tplc="040C0003" w:tentative="1">
      <w:start w:val="1"/>
      <w:numFmt w:val="bullet"/>
      <w:lvlText w:val="o"/>
      <w:lvlJc w:val="left"/>
      <w:pPr>
        <w:ind w:left="2970" w:hanging="360"/>
      </w:pPr>
      <w:rPr>
        <w:rFonts w:ascii="Courier New" w:hAnsi="Courier New" w:cs="Courier New" w:hint="default"/>
      </w:rPr>
    </w:lvl>
    <w:lvl w:ilvl="5" w:tplc="040C0005" w:tentative="1">
      <w:start w:val="1"/>
      <w:numFmt w:val="bullet"/>
      <w:lvlText w:val=""/>
      <w:lvlJc w:val="left"/>
      <w:pPr>
        <w:ind w:left="3690" w:hanging="360"/>
      </w:pPr>
      <w:rPr>
        <w:rFonts w:ascii="Wingdings" w:hAnsi="Wingdings" w:hint="default"/>
      </w:rPr>
    </w:lvl>
    <w:lvl w:ilvl="6" w:tplc="040C0001" w:tentative="1">
      <w:start w:val="1"/>
      <w:numFmt w:val="bullet"/>
      <w:lvlText w:val=""/>
      <w:lvlJc w:val="left"/>
      <w:pPr>
        <w:ind w:left="4410" w:hanging="360"/>
      </w:pPr>
      <w:rPr>
        <w:rFonts w:ascii="Symbol" w:hAnsi="Symbol" w:hint="default"/>
      </w:rPr>
    </w:lvl>
    <w:lvl w:ilvl="7" w:tplc="040C0003" w:tentative="1">
      <w:start w:val="1"/>
      <w:numFmt w:val="bullet"/>
      <w:lvlText w:val="o"/>
      <w:lvlJc w:val="left"/>
      <w:pPr>
        <w:ind w:left="5130" w:hanging="360"/>
      </w:pPr>
      <w:rPr>
        <w:rFonts w:ascii="Courier New" w:hAnsi="Courier New" w:cs="Courier New" w:hint="default"/>
      </w:rPr>
    </w:lvl>
    <w:lvl w:ilvl="8" w:tplc="040C0005" w:tentative="1">
      <w:start w:val="1"/>
      <w:numFmt w:val="bullet"/>
      <w:lvlText w:val=""/>
      <w:lvlJc w:val="left"/>
      <w:pPr>
        <w:ind w:left="5850" w:hanging="360"/>
      </w:pPr>
      <w:rPr>
        <w:rFonts w:ascii="Wingdings" w:hAnsi="Wingdings" w:hint="default"/>
      </w:rPr>
    </w:lvl>
  </w:abstractNum>
  <w:abstractNum w:abstractNumId="5" w15:restartNumberingAfterBreak="0">
    <w:nsid w:val="1AAE4507"/>
    <w:multiLevelType w:val="hybridMultilevel"/>
    <w:tmpl w:val="907EB1C2"/>
    <w:lvl w:ilvl="0" w:tplc="040C0015">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471981"/>
    <w:multiLevelType w:val="hybridMultilevel"/>
    <w:tmpl w:val="70E2E810"/>
    <w:lvl w:ilvl="0" w:tplc="040C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C6485"/>
    <w:multiLevelType w:val="hybridMultilevel"/>
    <w:tmpl w:val="20584126"/>
    <w:lvl w:ilvl="0" w:tplc="04090017">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8" w15:restartNumberingAfterBreak="0">
    <w:nsid w:val="238D00EE"/>
    <w:multiLevelType w:val="hybridMultilevel"/>
    <w:tmpl w:val="A3FC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D0353"/>
    <w:multiLevelType w:val="hybridMultilevel"/>
    <w:tmpl w:val="3D822DA4"/>
    <w:lvl w:ilvl="0" w:tplc="5314AEFA">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E330C5"/>
    <w:multiLevelType w:val="hybridMultilevel"/>
    <w:tmpl w:val="D37A7F14"/>
    <w:lvl w:ilvl="0" w:tplc="24BA7974">
      <w:numFmt w:val="bullet"/>
      <w:lvlText w:val="-"/>
      <w:lvlJc w:val="left"/>
      <w:pPr>
        <w:tabs>
          <w:tab w:val="num" w:pos="360"/>
        </w:tabs>
        <w:ind w:left="360" w:hanging="360"/>
      </w:pPr>
      <w:rPr>
        <w:rFonts w:ascii="Times New Roman" w:eastAsia="MS Mincho"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EE13C31"/>
    <w:multiLevelType w:val="hybridMultilevel"/>
    <w:tmpl w:val="DAEE9FFC"/>
    <w:lvl w:ilvl="0" w:tplc="AFF86A70">
      <w:start w:val="1"/>
      <w:numFmt w:val="decimal"/>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12" w15:restartNumberingAfterBreak="0">
    <w:nsid w:val="32DD737C"/>
    <w:multiLevelType w:val="hybridMultilevel"/>
    <w:tmpl w:val="45706436"/>
    <w:lvl w:ilvl="0" w:tplc="040C000F">
      <w:start w:val="1"/>
      <w:numFmt w:val="decimal"/>
      <w:lvlText w:val="%1."/>
      <w:lvlJc w:val="left"/>
      <w:pPr>
        <w:ind w:left="36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FA0E78"/>
    <w:multiLevelType w:val="hybridMultilevel"/>
    <w:tmpl w:val="57640D8C"/>
    <w:lvl w:ilvl="0" w:tplc="A6DA7252">
      <w:start w:val="3"/>
      <w:numFmt w:val="bullet"/>
      <w:lvlText w:val="-"/>
      <w:lvlJc w:val="left"/>
      <w:pPr>
        <w:ind w:left="648" w:hanging="288"/>
      </w:pPr>
      <w:rPr>
        <w:rFonts w:ascii="Arial Narrow" w:eastAsia="Times New Roman"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8A5A48"/>
    <w:multiLevelType w:val="hybridMultilevel"/>
    <w:tmpl w:val="74568F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16EDB"/>
    <w:multiLevelType w:val="hybridMultilevel"/>
    <w:tmpl w:val="3834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62012"/>
    <w:multiLevelType w:val="hybridMultilevel"/>
    <w:tmpl w:val="2E4EBBDE"/>
    <w:lvl w:ilvl="0" w:tplc="5D0CF6CE">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37B7D"/>
    <w:multiLevelType w:val="hybridMultilevel"/>
    <w:tmpl w:val="75BAE6F0"/>
    <w:lvl w:ilvl="0" w:tplc="A0741156">
      <w:start w:val="5"/>
      <w:numFmt w:val="bullet"/>
      <w:lvlText w:val="-"/>
      <w:lvlJc w:val="left"/>
      <w:pPr>
        <w:ind w:left="420" w:hanging="360"/>
      </w:pPr>
      <w:rPr>
        <w:rFonts w:ascii="Candara" w:eastAsia="Calibri" w:hAnsi="Candara"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18" w15:restartNumberingAfterBreak="0">
    <w:nsid w:val="4FE96405"/>
    <w:multiLevelType w:val="hybridMultilevel"/>
    <w:tmpl w:val="80048F08"/>
    <w:lvl w:ilvl="0" w:tplc="E8A80CF6">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0A7C1D"/>
    <w:multiLevelType w:val="hybridMultilevel"/>
    <w:tmpl w:val="20584126"/>
    <w:lvl w:ilvl="0" w:tplc="04090017">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0" w15:restartNumberingAfterBreak="0">
    <w:nsid w:val="5BB743B5"/>
    <w:multiLevelType w:val="hybridMultilevel"/>
    <w:tmpl w:val="004001D6"/>
    <w:lvl w:ilvl="0" w:tplc="11462C8A">
      <w:start w:val="1"/>
      <w:numFmt w:val="lowerLetter"/>
      <w:lvlText w:val="a)%1"/>
      <w:lvlJc w:val="center"/>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1" w15:restartNumberingAfterBreak="0">
    <w:nsid w:val="670027E8"/>
    <w:multiLevelType w:val="hybridMultilevel"/>
    <w:tmpl w:val="5CCEACC8"/>
    <w:lvl w:ilvl="0" w:tplc="5314AEFA">
      <w:start w:val="1"/>
      <w:numFmt w:val="upperRoman"/>
      <w:lvlText w:val="%1."/>
      <w:lvlJc w:val="left"/>
      <w:pPr>
        <w:ind w:left="90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8251965"/>
    <w:multiLevelType w:val="hybridMultilevel"/>
    <w:tmpl w:val="D6D8AED8"/>
    <w:lvl w:ilvl="0" w:tplc="476C82B6">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D172FE"/>
    <w:multiLevelType w:val="hybridMultilevel"/>
    <w:tmpl w:val="57C44B1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D0A5F64"/>
    <w:multiLevelType w:val="hybridMultilevel"/>
    <w:tmpl w:val="B92A0A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2168E0"/>
    <w:multiLevelType w:val="hybridMultilevel"/>
    <w:tmpl w:val="56AA455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5DE29E5"/>
    <w:multiLevelType w:val="hybridMultilevel"/>
    <w:tmpl w:val="E0827C24"/>
    <w:lvl w:ilvl="0" w:tplc="04090019">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77C755D9"/>
    <w:multiLevelType w:val="hybridMultilevel"/>
    <w:tmpl w:val="6D8E82C8"/>
    <w:lvl w:ilvl="0" w:tplc="C3900216">
      <w:numFmt w:val="bullet"/>
      <w:lvlText w:val="-"/>
      <w:lvlJc w:val="left"/>
      <w:pPr>
        <w:tabs>
          <w:tab w:val="num" w:pos="720"/>
        </w:tabs>
        <w:ind w:left="720" w:hanging="360"/>
      </w:pPr>
      <w:rPr>
        <w:rFonts w:ascii="Times New Roman" w:eastAsia="MS Mincho"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D63EF7"/>
    <w:multiLevelType w:val="hybridMultilevel"/>
    <w:tmpl w:val="97CA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18"/>
  </w:num>
  <w:num w:numId="4">
    <w:abstractNumId w:val="16"/>
  </w:num>
  <w:num w:numId="5">
    <w:abstractNumId w:val="28"/>
  </w:num>
  <w:num w:numId="6">
    <w:abstractNumId w:val="15"/>
  </w:num>
  <w:num w:numId="7">
    <w:abstractNumId w:val="9"/>
  </w:num>
  <w:num w:numId="8">
    <w:abstractNumId w:val="11"/>
  </w:num>
  <w:num w:numId="9">
    <w:abstractNumId w:val="8"/>
  </w:num>
  <w:num w:numId="10">
    <w:abstractNumId w:val="25"/>
  </w:num>
  <w:num w:numId="11">
    <w:abstractNumId w:val="7"/>
  </w:num>
  <w:num w:numId="12">
    <w:abstractNumId w:val="22"/>
  </w:num>
  <w:num w:numId="13">
    <w:abstractNumId w:val="4"/>
  </w:num>
  <w:num w:numId="14">
    <w:abstractNumId w:val="13"/>
  </w:num>
  <w:num w:numId="15">
    <w:abstractNumId w:val="20"/>
  </w:num>
  <w:num w:numId="16">
    <w:abstractNumId w:val="19"/>
  </w:num>
  <w:num w:numId="17">
    <w:abstractNumId w:val="21"/>
  </w:num>
  <w:num w:numId="18">
    <w:abstractNumId w:val="14"/>
  </w:num>
  <w:num w:numId="19">
    <w:abstractNumId w:val="6"/>
  </w:num>
  <w:num w:numId="20">
    <w:abstractNumId w:val="12"/>
  </w:num>
  <w:num w:numId="21">
    <w:abstractNumId w:val="0"/>
  </w:num>
  <w:num w:numId="22">
    <w:abstractNumId w:val="23"/>
  </w:num>
  <w:num w:numId="23">
    <w:abstractNumId w:val="5"/>
  </w:num>
  <w:num w:numId="24">
    <w:abstractNumId w:val="9"/>
  </w:num>
  <w:num w:numId="25">
    <w:abstractNumId w:val="17"/>
  </w:num>
  <w:num w:numId="26">
    <w:abstractNumId w:val="2"/>
    <w:lvlOverride w:ilvl="0">
      <w:startOverride w:val="1"/>
    </w:lvlOverride>
    <w:lvlOverride w:ilvl="1"/>
    <w:lvlOverride w:ilvl="2"/>
    <w:lvlOverride w:ilvl="3"/>
    <w:lvlOverride w:ilvl="4"/>
    <w:lvlOverride w:ilvl="5"/>
    <w:lvlOverride w:ilvl="6"/>
    <w:lvlOverride w:ilvl="7"/>
    <w:lvlOverride w:ilvl="8"/>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7"/>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lvlOverride w:ilvl="2"/>
    <w:lvlOverride w:ilvl="3"/>
    <w:lvlOverride w:ilvl="4"/>
    <w:lvlOverride w:ilvl="5"/>
    <w:lvlOverride w:ilvl="6"/>
    <w:lvlOverride w:ilvl="7"/>
    <w:lvlOverride w:ilvl="8"/>
  </w:num>
  <w:num w:numId="32">
    <w:abstractNumId w:val="1"/>
  </w:num>
  <w:num w:numId="33">
    <w:abstractNumId w:val="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12"/>
    <w:rsid w:val="00023370"/>
    <w:rsid w:val="000259FB"/>
    <w:rsid w:val="00123A65"/>
    <w:rsid w:val="00137DC7"/>
    <w:rsid w:val="0017615C"/>
    <w:rsid w:val="001B490F"/>
    <w:rsid w:val="001C2111"/>
    <w:rsid w:val="00222D80"/>
    <w:rsid w:val="00296FC3"/>
    <w:rsid w:val="002B4E49"/>
    <w:rsid w:val="00304061"/>
    <w:rsid w:val="00325812"/>
    <w:rsid w:val="00373E48"/>
    <w:rsid w:val="00474113"/>
    <w:rsid w:val="00480CEF"/>
    <w:rsid w:val="004A2D5C"/>
    <w:rsid w:val="004E21E1"/>
    <w:rsid w:val="00501695"/>
    <w:rsid w:val="00562DBE"/>
    <w:rsid w:val="00601634"/>
    <w:rsid w:val="006050E9"/>
    <w:rsid w:val="0063729F"/>
    <w:rsid w:val="00687196"/>
    <w:rsid w:val="006B13D8"/>
    <w:rsid w:val="006C0648"/>
    <w:rsid w:val="006C44FD"/>
    <w:rsid w:val="00754082"/>
    <w:rsid w:val="008945E8"/>
    <w:rsid w:val="009E6F18"/>
    <w:rsid w:val="00A01AD6"/>
    <w:rsid w:val="00A964F8"/>
    <w:rsid w:val="00AE56A7"/>
    <w:rsid w:val="00AF106B"/>
    <w:rsid w:val="00B37C4A"/>
    <w:rsid w:val="00BB3503"/>
    <w:rsid w:val="00D4223C"/>
    <w:rsid w:val="00D65930"/>
    <w:rsid w:val="00DB0E33"/>
    <w:rsid w:val="00DD15DC"/>
    <w:rsid w:val="00DE44AD"/>
    <w:rsid w:val="00E456F8"/>
    <w:rsid w:val="00EE0B28"/>
    <w:rsid w:val="00EE795A"/>
    <w:rsid w:val="00F14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B515"/>
  <w15:chartTrackingRefBased/>
  <w15:docId w15:val="{6A349F6E-9C1D-46E0-A380-78F5B56C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812"/>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812"/>
    <w:pPr>
      <w:ind w:left="720"/>
      <w:contextualSpacing/>
    </w:pPr>
  </w:style>
  <w:style w:type="paragraph" w:styleId="FootnoteText">
    <w:name w:val="footnote text"/>
    <w:basedOn w:val="Normal"/>
    <w:link w:val="FootnoteTextChar"/>
    <w:uiPriority w:val="99"/>
    <w:unhideWhenUsed/>
    <w:rsid w:val="00D65930"/>
    <w:pPr>
      <w:widowControl/>
      <w:spacing w:after="0" w:line="240" w:lineRule="auto"/>
    </w:pPr>
    <w:rPr>
      <w:rFonts w:asciiTheme="minorBidi" w:hAnsiTheme="minorBidi"/>
      <w:sz w:val="18"/>
      <w:szCs w:val="20"/>
    </w:rPr>
  </w:style>
  <w:style w:type="character" w:customStyle="1" w:styleId="FootnoteTextChar">
    <w:name w:val="Footnote Text Char"/>
    <w:basedOn w:val="DefaultParagraphFont"/>
    <w:link w:val="FootnoteText"/>
    <w:uiPriority w:val="99"/>
    <w:rsid w:val="00D65930"/>
    <w:rPr>
      <w:rFonts w:asciiTheme="minorBidi" w:hAnsiTheme="minorBidi"/>
      <w:sz w:val="18"/>
      <w:szCs w:val="20"/>
    </w:rPr>
  </w:style>
  <w:style w:type="character" w:styleId="FootnoteReference">
    <w:name w:val="footnote reference"/>
    <w:basedOn w:val="DefaultParagraphFont"/>
    <w:unhideWhenUsed/>
    <w:rsid w:val="00D65930"/>
    <w:rPr>
      <w:vertAlign w:val="superscript"/>
    </w:rPr>
  </w:style>
  <w:style w:type="paragraph" w:styleId="CommentText">
    <w:name w:val="annotation text"/>
    <w:basedOn w:val="Normal"/>
    <w:link w:val="CommentTextChar"/>
    <w:uiPriority w:val="99"/>
    <w:unhideWhenUsed/>
    <w:rsid w:val="00D4223C"/>
    <w:pPr>
      <w:spacing w:line="240" w:lineRule="auto"/>
    </w:pPr>
    <w:rPr>
      <w:sz w:val="20"/>
      <w:szCs w:val="20"/>
    </w:rPr>
  </w:style>
  <w:style w:type="character" w:customStyle="1" w:styleId="CommentTextChar">
    <w:name w:val="Comment Text Char"/>
    <w:basedOn w:val="DefaultParagraphFont"/>
    <w:link w:val="CommentText"/>
    <w:uiPriority w:val="99"/>
    <w:rsid w:val="00D4223C"/>
    <w:rPr>
      <w:sz w:val="20"/>
      <w:szCs w:val="20"/>
    </w:rPr>
  </w:style>
  <w:style w:type="character" w:styleId="Hyperlink">
    <w:name w:val="Hyperlink"/>
    <w:basedOn w:val="DefaultParagraphFont"/>
    <w:uiPriority w:val="99"/>
    <w:unhideWhenUsed/>
    <w:rsid w:val="00D4223C"/>
    <w:rPr>
      <w:color w:val="0563C1" w:themeColor="hyperlink"/>
      <w:u w:val="single"/>
    </w:rPr>
  </w:style>
  <w:style w:type="table" w:styleId="TableGrid">
    <w:name w:val="Table Grid"/>
    <w:basedOn w:val="TableNormal"/>
    <w:uiPriority w:val="59"/>
    <w:rsid w:val="00D4223C"/>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480CEF"/>
  </w:style>
  <w:style w:type="paragraph" w:customStyle="1" w:styleId="Default">
    <w:name w:val="Default"/>
    <w:basedOn w:val="Normal"/>
    <w:rsid w:val="00023370"/>
    <w:pPr>
      <w:widowControl/>
      <w:autoSpaceDE w:val="0"/>
      <w:autoSpaceDN w:val="0"/>
      <w:spacing w:after="0" w:line="240" w:lineRule="auto"/>
    </w:pPr>
    <w:rPr>
      <w:rFonts w:ascii="Palatino Linotype" w:hAnsi="Palatino Linotype"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18869">
      <w:bodyDiv w:val="1"/>
      <w:marLeft w:val="0"/>
      <w:marRight w:val="0"/>
      <w:marTop w:val="0"/>
      <w:marBottom w:val="0"/>
      <w:divBdr>
        <w:top w:val="none" w:sz="0" w:space="0" w:color="auto"/>
        <w:left w:val="none" w:sz="0" w:space="0" w:color="auto"/>
        <w:bottom w:val="none" w:sz="0" w:space="0" w:color="auto"/>
        <w:right w:val="none" w:sz="0" w:space="0" w:color="auto"/>
      </w:divBdr>
    </w:div>
    <w:div w:id="375933873">
      <w:bodyDiv w:val="1"/>
      <w:marLeft w:val="0"/>
      <w:marRight w:val="0"/>
      <w:marTop w:val="0"/>
      <w:marBottom w:val="0"/>
      <w:divBdr>
        <w:top w:val="none" w:sz="0" w:space="0" w:color="auto"/>
        <w:left w:val="none" w:sz="0" w:space="0" w:color="auto"/>
        <w:bottom w:val="none" w:sz="0" w:space="0" w:color="auto"/>
        <w:right w:val="none" w:sz="0" w:space="0" w:color="auto"/>
      </w:divBdr>
    </w:div>
    <w:div w:id="428475391">
      <w:bodyDiv w:val="1"/>
      <w:marLeft w:val="0"/>
      <w:marRight w:val="0"/>
      <w:marTop w:val="0"/>
      <w:marBottom w:val="0"/>
      <w:divBdr>
        <w:top w:val="none" w:sz="0" w:space="0" w:color="auto"/>
        <w:left w:val="none" w:sz="0" w:space="0" w:color="auto"/>
        <w:bottom w:val="none" w:sz="0" w:space="0" w:color="auto"/>
        <w:right w:val="none" w:sz="0" w:space="0" w:color="auto"/>
      </w:divBdr>
    </w:div>
    <w:div w:id="702555678">
      <w:bodyDiv w:val="1"/>
      <w:marLeft w:val="0"/>
      <w:marRight w:val="0"/>
      <w:marTop w:val="0"/>
      <w:marBottom w:val="0"/>
      <w:divBdr>
        <w:top w:val="none" w:sz="0" w:space="0" w:color="auto"/>
        <w:left w:val="none" w:sz="0" w:space="0" w:color="auto"/>
        <w:bottom w:val="none" w:sz="0" w:space="0" w:color="auto"/>
        <w:right w:val="none" w:sz="0" w:space="0" w:color="auto"/>
      </w:divBdr>
    </w:div>
    <w:div w:id="762334692">
      <w:bodyDiv w:val="1"/>
      <w:marLeft w:val="0"/>
      <w:marRight w:val="0"/>
      <w:marTop w:val="0"/>
      <w:marBottom w:val="0"/>
      <w:divBdr>
        <w:top w:val="none" w:sz="0" w:space="0" w:color="auto"/>
        <w:left w:val="none" w:sz="0" w:space="0" w:color="auto"/>
        <w:bottom w:val="none" w:sz="0" w:space="0" w:color="auto"/>
        <w:right w:val="none" w:sz="0" w:space="0" w:color="auto"/>
      </w:divBdr>
    </w:div>
    <w:div w:id="784544396">
      <w:bodyDiv w:val="1"/>
      <w:marLeft w:val="0"/>
      <w:marRight w:val="0"/>
      <w:marTop w:val="0"/>
      <w:marBottom w:val="0"/>
      <w:divBdr>
        <w:top w:val="none" w:sz="0" w:space="0" w:color="auto"/>
        <w:left w:val="none" w:sz="0" w:space="0" w:color="auto"/>
        <w:bottom w:val="none" w:sz="0" w:space="0" w:color="auto"/>
        <w:right w:val="none" w:sz="0" w:space="0" w:color="auto"/>
      </w:divBdr>
    </w:div>
    <w:div w:id="1179004949">
      <w:bodyDiv w:val="1"/>
      <w:marLeft w:val="0"/>
      <w:marRight w:val="0"/>
      <w:marTop w:val="0"/>
      <w:marBottom w:val="0"/>
      <w:divBdr>
        <w:top w:val="none" w:sz="0" w:space="0" w:color="auto"/>
        <w:left w:val="none" w:sz="0" w:space="0" w:color="auto"/>
        <w:bottom w:val="none" w:sz="0" w:space="0" w:color="auto"/>
        <w:right w:val="none" w:sz="0" w:space="0" w:color="auto"/>
      </w:divBdr>
    </w:div>
    <w:div w:id="1200513801">
      <w:bodyDiv w:val="1"/>
      <w:marLeft w:val="0"/>
      <w:marRight w:val="0"/>
      <w:marTop w:val="0"/>
      <w:marBottom w:val="0"/>
      <w:divBdr>
        <w:top w:val="none" w:sz="0" w:space="0" w:color="auto"/>
        <w:left w:val="none" w:sz="0" w:space="0" w:color="auto"/>
        <w:bottom w:val="none" w:sz="0" w:space="0" w:color="auto"/>
        <w:right w:val="none" w:sz="0" w:space="0" w:color="auto"/>
      </w:divBdr>
    </w:div>
    <w:div w:id="1671176182">
      <w:bodyDiv w:val="1"/>
      <w:marLeft w:val="0"/>
      <w:marRight w:val="0"/>
      <w:marTop w:val="0"/>
      <w:marBottom w:val="0"/>
      <w:divBdr>
        <w:top w:val="none" w:sz="0" w:space="0" w:color="auto"/>
        <w:left w:val="none" w:sz="0" w:space="0" w:color="auto"/>
        <w:bottom w:val="none" w:sz="0" w:space="0" w:color="auto"/>
        <w:right w:val="none" w:sz="0" w:space="0" w:color="auto"/>
      </w:divBdr>
    </w:div>
    <w:div w:id="1692148881">
      <w:bodyDiv w:val="1"/>
      <w:marLeft w:val="0"/>
      <w:marRight w:val="0"/>
      <w:marTop w:val="0"/>
      <w:marBottom w:val="0"/>
      <w:divBdr>
        <w:top w:val="none" w:sz="0" w:space="0" w:color="auto"/>
        <w:left w:val="none" w:sz="0" w:space="0" w:color="auto"/>
        <w:bottom w:val="none" w:sz="0" w:space="0" w:color="auto"/>
        <w:right w:val="none" w:sz="0" w:space="0" w:color="auto"/>
      </w:divBdr>
    </w:div>
    <w:div w:id="1861579655">
      <w:bodyDiv w:val="1"/>
      <w:marLeft w:val="0"/>
      <w:marRight w:val="0"/>
      <w:marTop w:val="0"/>
      <w:marBottom w:val="0"/>
      <w:divBdr>
        <w:top w:val="none" w:sz="0" w:space="0" w:color="auto"/>
        <w:left w:val="none" w:sz="0" w:space="0" w:color="auto"/>
        <w:bottom w:val="none" w:sz="0" w:space="0" w:color="auto"/>
        <w:right w:val="none" w:sz="0" w:space="0" w:color="auto"/>
      </w:divBdr>
    </w:div>
    <w:div w:id="1885411722">
      <w:bodyDiv w:val="1"/>
      <w:marLeft w:val="0"/>
      <w:marRight w:val="0"/>
      <w:marTop w:val="0"/>
      <w:marBottom w:val="0"/>
      <w:divBdr>
        <w:top w:val="none" w:sz="0" w:space="0" w:color="auto"/>
        <w:left w:val="none" w:sz="0" w:space="0" w:color="auto"/>
        <w:bottom w:val="none" w:sz="0" w:space="0" w:color="auto"/>
        <w:right w:val="none" w:sz="0" w:space="0" w:color="auto"/>
      </w:divBdr>
    </w:div>
    <w:div w:id="200647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ocurement@ht.gere.rt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35B578A535F14EB7FC904C9DBF8ED0" ma:contentTypeVersion="13" ma:contentTypeDescription="Create a new document." ma:contentTypeScope="" ma:versionID="25d12d4e16b1ba861365233e0521649e">
  <xsd:schema xmlns:xsd="http://www.w3.org/2001/XMLSchema" xmlns:xs="http://www.w3.org/2001/XMLSchema" xmlns:p="http://schemas.microsoft.com/office/2006/metadata/properties" xmlns:ns3="319ab3fa-d169-47fc-b586-e779b6a3c0a1" xmlns:ns4="41a73cd1-d26c-4003-a567-bfae247f0bc8" targetNamespace="http://schemas.microsoft.com/office/2006/metadata/properties" ma:root="true" ma:fieldsID="10fa92df492e5739529b229ca32865ce" ns3:_="" ns4:_="">
    <xsd:import namespace="319ab3fa-d169-47fc-b586-e779b6a3c0a1"/>
    <xsd:import namespace="41a73cd1-d26c-4003-a567-bfae247f0b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ab3fa-d169-47fc-b586-e779b6a3c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a73cd1-d26c-4003-a567-bfae247f0b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0F5FE8-43E9-4840-9160-B1D2A2E360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0D1A08-5C4A-4C48-8F30-C6F9C51EC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ab3fa-d169-47fc-b586-e779b6a3c0a1"/>
    <ds:schemaRef ds:uri="41a73cd1-d26c-4003-a567-bfae247f0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FCD813-F956-4C85-AEEC-AEA6A840BD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3519</Words>
  <Characters>20061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 Tameeka</dc:creator>
  <cp:keywords/>
  <dc:description/>
  <cp:lastModifiedBy>Bonte, Esther</cp:lastModifiedBy>
  <cp:revision>2</cp:revision>
  <dcterms:created xsi:type="dcterms:W3CDTF">2020-07-23T16:28:00Z</dcterms:created>
  <dcterms:modified xsi:type="dcterms:W3CDTF">2020-07-23T16:28:00Z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0x010100F835B578A535F14EB7FC904C9DBF8ED0</vt:lpwstr>
  </property>
</Properties>
</file>