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F0" w:rsidRPr="00C078F0" w:rsidRDefault="00C078F0" w:rsidP="00C078F0">
      <w:pPr>
        <w:spacing w:after="120"/>
        <w:jc w:val="center"/>
        <w:rPr>
          <w:b/>
          <w:sz w:val="28"/>
          <w:szCs w:val="28"/>
          <w:lang w:val="fr-FR"/>
        </w:rPr>
      </w:pPr>
      <w:r w:rsidRPr="00C078F0">
        <w:rPr>
          <w:b/>
          <w:sz w:val="28"/>
          <w:szCs w:val="28"/>
          <w:lang w:val="fr-FR"/>
        </w:rPr>
        <w:t>Termes de référence</w:t>
      </w:r>
    </w:p>
    <w:p w:rsidR="00C078F0" w:rsidRDefault="00C078F0" w:rsidP="00C078F0">
      <w:pPr>
        <w:spacing w:after="120"/>
        <w:jc w:val="center"/>
        <w:rPr>
          <w:b/>
          <w:sz w:val="28"/>
          <w:szCs w:val="28"/>
          <w:lang w:val="fr-FR"/>
        </w:rPr>
      </w:pPr>
      <w:r w:rsidRPr="00C078F0">
        <w:rPr>
          <w:b/>
          <w:sz w:val="28"/>
          <w:szCs w:val="28"/>
          <w:lang w:val="fr-FR"/>
        </w:rPr>
        <w:t>Achat de services de consultation technique</w:t>
      </w:r>
    </w:p>
    <w:p w:rsidR="00C078F0" w:rsidRPr="00C078F0" w:rsidRDefault="00C078F0" w:rsidP="00C078F0">
      <w:pPr>
        <w:spacing w:after="120"/>
        <w:jc w:val="center"/>
        <w:rPr>
          <w:b/>
          <w:sz w:val="28"/>
          <w:szCs w:val="28"/>
          <w:lang w:val="fr-FR"/>
        </w:rPr>
      </w:pPr>
      <w:r w:rsidRPr="00C078F0">
        <w:rPr>
          <w:b/>
          <w:sz w:val="24"/>
          <w:szCs w:val="24"/>
          <w:lang w:val="fr-FR"/>
        </w:rPr>
        <w:t>Formation sur l’Education thérapeutique et la Prise en charge psychosociale en faveur des prestataires de soins du programme VIH/sida</w:t>
      </w:r>
    </w:p>
    <w:p w:rsidR="008730EC" w:rsidRPr="00C16D03" w:rsidRDefault="008730EC" w:rsidP="008730EC">
      <w:pPr>
        <w:rPr>
          <w:b/>
          <w:bCs/>
          <w:lang w:val="fr-FR"/>
        </w:rPr>
      </w:pPr>
    </w:p>
    <w:p w:rsidR="00C16D03" w:rsidRPr="00C16D03" w:rsidRDefault="00C16D03" w:rsidP="00C16D03">
      <w:pPr>
        <w:spacing w:after="0" w:line="276" w:lineRule="auto"/>
        <w:jc w:val="both"/>
        <w:rPr>
          <w:sz w:val="24"/>
          <w:szCs w:val="24"/>
          <w:lang w:val="fr-FR"/>
        </w:rPr>
      </w:pPr>
    </w:p>
    <w:p w:rsidR="00C078F0" w:rsidRPr="00A60ECB" w:rsidRDefault="00C078F0" w:rsidP="00C078F0">
      <w:pPr>
        <w:numPr>
          <w:ilvl w:val="0"/>
          <w:numId w:val="5"/>
        </w:numPr>
        <w:spacing w:after="120" w:line="240" w:lineRule="auto"/>
        <w:rPr>
          <w:b/>
        </w:rPr>
      </w:pPr>
      <w:proofErr w:type="spellStart"/>
      <w:r w:rsidRPr="00A60ECB">
        <w:rPr>
          <w:b/>
        </w:rPr>
        <w:t>Brève</w:t>
      </w:r>
      <w:proofErr w:type="spellEnd"/>
      <w:r w:rsidRPr="00A60ECB">
        <w:rPr>
          <w:b/>
        </w:rPr>
        <w:t xml:space="preserve"> </w:t>
      </w:r>
      <w:proofErr w:type="spellStart"/>
      <w:r w:rsidRPr="00A60ECB">
        <w:rPr>
          <w:b/>
        </w:rPr>
        <w:t>mise</w:t>
      </w:r>
      <w:proofErr w:type="spellEnd"/>
      <w:r w:rsidRPr="00A60ECB">
        <w:rPr>
          <w:b/>
        </w:rPr>
        <w:t xml:space="preserve"> en </w:t>
      </w:r>
      <w:proofErr w:type="spellStart"/>
      <w:r w:rsidRPr="00A60ECB">
        <w:rPr>
          <w:b/>
        </w:rPr>
        <w:t>contexte</w:t>
      </w:r>
      <w:proofErr w:type="spellEnd"/>
    </w:p>
    <w:p w:rsidR="00B876A4" w:rsidRPr="00C16D03" w:rsidRDefault="003C2C3F" w:rsidP="00C16D03">
      <w:pPr>
        <w:spacing w:after="0" w:line="276" w:lineRule="auto"/>
        <w:jc w:val="both"/>
        <w:rPr>
          <w:rFonts w:cstheme="minorHAnsi"/>
          <w:color w:val="000000"/>
          <w:sz w:val="24"/>
          <w:szCs w:val="24"/>
          <w:lang w:val="fr-FR"/>
        </w:rPr>
      </w:pPr>
      <w:r w:rsidRPr="00C16D03">
        <w:rPr>
          <w:rFonts w:cstheme="minorHAnsi"/>
          <w:sz w:val="24"/>
          <w:szCs w:val="24"/>
          <w:lang w:val="fr-FR"/>
        </w:rPr>
        <w:t>L’avènement des thérapies antirétrovirales a transform</w:t>
      </w:r>
      <w:r w:rsidR="002B4DF8" w:rsidRPr="00C16D03">
        <w:rPr>
          <w:rFonts w:cstheme="minorHAnsi"/>
          <w:sz w:val="24"/>
          <w:szCs w:val="24"/>
          <w:lang w:val="fr-FR"/>
        </w:rPr>
        <w:t>é</w:t>
      </w:r>
      <w:r w:rsidRPr="00C16D03">
        <w:rPr>
          <w:rFonts w:cstheme="minorHAnsi"/>
          <w:sz w:val="24"/>
          <w:szCs w:val="24"/>
          <w:lang w:val="fr-FR"/>
        </w:rPr>
        <w:t xml:space="preserve"> l’histoire naturelle de l’infection à VIH en maladie chronique nécessitant un traitement prolong</w:t>
      </w:r>
      <w:r w:rsidR="007B5916" w:rsidRPr="00C16D03">
        <w:rPr>
          <w:rFonts w:cstheme="minorHAnsi"/>
          <w:sz w:val="24"/>
          <w:szCs w:val="24"/>
          <w:lang w:val="fr-FR"/>
        </w:rPr>
        <w:t>é</w:t>
      </w:r>
      <w:r w:rsidRPr="00C16D03">
        <w:rPr>
          <w:rFonts w:cstheme="minorHAnsi"/>
          <w:sz w:val="24"/>
          <w:szCs w:val="24"/>
          <w:lang w:val="fr-FR"/>
        </w:rPr>
        <w:t>, ainsi qu’</w:t>
      </w:r>
      <w:r w:rsidR="007B5916" w:rsidRPr="00C16D03">
        <w:rPr>
          <w:rFonts w:cstheme="minorHAnsi"/>
          <w:sz w:val="24"/>
          <w:szCs w:val="24"/>
          <w:lang w:val="fr-FR"/>
        </w:rPr>
        <w:t>u</w:t>
      </w:r>
      <w:r w:rsidRPr="00C16D03">
        <w:rPr>
          <w:rFonts w:cstheme="minorHAnsi"/>
          <w:sz w:val="24"/>
          <w:szCs w:val="24"/>
          <w:lang w:val="fr-FR"/>
        </w:rPr>
        <w:t xml:space="preserve">ne bonne observance.  </w:t>
      </w:r>
      <w:r w:rsidR="007B5916" w:rsidRPr="00C16D03">
        <w:rPr>
          <w:rFonts w:cstheme="minorHAnsi"/>
          <w:sz w:val="24"/>
          <w:szCs w:val="24"/>
          <w:lang w:val="fr-FR"/>
        </w:rPr>
        <w:t>Depuis plusieurs années, l</w:t>
      </w:r>
      <w:r w:rsidR="000A5054" w:rsidRPr="00C16D03">
        <w:rPr>
          <w:rFonts w:cstheme="minorHAnsi"/>
          <w:sz w:val="24"/>
          <w:szCs w:val="24"/>
          <w:lang w:val="fr-FR"/>
        </w:rPr>
        <w:t>es données basées sur l’évidence montrent que l</w:t>
      </w:r>
      <w:r w:rsidR="00B876A4" w:rsidRPr="00C16D03">
        <w:rPr>
          <w:rFonts w:cstheme="minorHAnsi"/>
          <w:color w:val="000000"/>
          <w:sz w:val="24"/>
          <w:szCs w:val="24"/>
          <w:lang w:val="fr-FR"/>
        </w:rPr>
        <w:t>a prise en charge globale des personnes infectées par le VIH</w:t>
      </w:r>
      <w:r w:rsidR="000A5054" w:rsidRPr="00C16D03">
        <w:rPr>
          <w:rFonts w:cstheme="minorHAnsi"/>
          <w:sz w:val="24"/>
          <w:szCs w:val="24"/>
          <w:lang w:val="fr-FR"/>
        </w:rPr>
        <w:t xml:space="preserve"> </w:t>
      </w:r>
      <w:r w:rsidR="00B876A4" w:rsidRPr="00C16D03">
        <w:rPr>
          <w:rFonts w:cstheme="minorHAnsi"/>
          <w:color w:val="000000"/>
          <w:sz w:val="24"/>
          <w:szCs w:val="24"/>
          <w:lang w:val="fr-FR"/>
        </w:rPr>
        <w:t>ne se résum</w:t>
      </w:r>
      <w:r w:rsidR="001B5ED9" w:rsidRPr="00C16D03">
        <w:rPr>
          <w:rFonts w:cstheme="minorHAnsi"/>
          <w:color w:val="000000"/>
          <w:sz w:val="24"/>
          <w:szCs w:val="24"/>
          <w:lang w:val="fr-FR"/>
        </w:rPr>
        <w:t>ait</w:t>
      </w:r>
      <w:r w:rsidR="00B876A4" w:rsidRPr="00C16D03">
        <w:rPr>
          <w:rFonts w:cstheme="minorHAnsi"/>
          <w:color w:val="000000"/>
          <w:sz w:val="24"/>
          <w:szCs w:val="24"/>
          <w:lang w:val="fr-FR"/>
        </w:rPr>
        <w:t xml:space="preserve"> pas à des soins </w:t>
      </w:r>
      <w:r w:rsidR="000A5054" w:rsidRPr="00C16D03">
        <w:rPr>
          <w:rFonts w:cstheme="minorHAnsi"/>
          <w:color w:val="000000"/>
          <w:sz w:val="24"/>
          <w:szCs w:val="24"/>
          <w:lang w:val="fr-FR"/>
        </w:rPr>
        <w:t>bio</w:t>
      </w:r>
      <w:r w:rsidR="00B876A4" w:rsidRPr="00C16D03">
        <w:rPr>
          <w:rFonts w:cstheme="minorHAnsi"/>
          <w:color w:val="000000"/>
          <w:sz w:val="24"/>
          <w:szCs w:val="24"/>
          <w:lang w:val="fr-FR"/>
        </w:rPr>
        <w:t>médicaux mais comport</w:t>
      </w:r>
      <w:r w:rsidR="001B5ED9" w:rsidRPr="00C16D03">
        <w:rPr>
          <w:rFonts w:cstheme="minorHAnsi"/>
          <w:color w:val="000000"/>
          <w:sz w:val="24"/>
          <w:szCs w:val="24"/>
          <w:lang w:val="fr-FR"/>
        </w:rPr>
        <w:t>ait</w:t>
      </w:r>
      <w:r w:rsidR="00B876A4" w:rsidRPr="00C16D03">
        <w:rPr>
          <w:rFonts w:cstheme="minorHAnsi"/>
          <w:color w:val="000000"/>
          <w:sz w:val="24"/>
          <w:szCs w:val="24"/>
          <w:lang w:val="fr-FR"/>
        </w:rPr>
        <w:t xml:space="preserve"> en complément, dans le cadre d’une démarche de prise en charge globale, des mesures d’accompagnement visant à développer et maintenir l’autonomie des </w:t>
      </w:r>
      <w:r w:rsidR="00B876A4" w:rsidRPr="00C16D03">
        <w:rPr>
          <w:rFonts w:cstheme="minorHAnsi"/>
          <w:sz w:val="24"/>
          <w:szCs w:val="24"/>
          <w:lang w:val="fr-FR"/>
        </w:rPr>
        <w:t>personnes à l’égard de la maladie</w:t>
      </w:r>
      <w:r w:rsidR="000A5054" w:rsidRPr="00C16D03">
        <w:rPr>
          <w:rFonts w:cstheme="minorHAnsi"/>
          <w:sz w:val="24"/>
          <w:szCs w:val="24"/>
          <w:lang w:val="fr-FR"/>
        </w:rPr>
        <w:t xml:space="preserve">. Ces mesures </w:t>
      </w:r>
      <w:r w:rsidR="001B5ED9" w:rsidRPr="00C16D03">
        <w:rPr>
          <w:rFonts w:cstheme="minorHAnsi"/>
          <w:sz w:val="24"/>
          <w:szCs w:val="24"/>
          <w:lang w:val="fr-FR"/>
        </w:rPr>
        <w:t>concernent</w:t>
      </w:r>
      <w:r w:rsidR="000A5054" w:rsidRPr="00C16D03">
        <w:rPr>
          <w:rFonts w:cstheme="minorHAnsi"/>
          <w:sz w:val="24"/>
          <w:szCs w:val="24"/>
          <w:lang w:val="fr-FR"/>
        </w:rPr>
        <w:t xml:space="preserve"> l’</w:t>
      </w:r>
      <w:r w:rsidR="00B876A4" w:rsidRPr="00C16D03">
        <w:rPr>
          <w:rFonts w:cstheme="minorHAnsi"/>
          <w:sz w:val="24"/>
          <w:szCs w:val="24"/>
          <w:lang w:val="fr-FR"/>
        </w:rPr>
        <w:t>accompagnement psycho</w:t>
      </w:r>
      <w:r w:rsidR="00876492" w:rsidRPr="00C16D03">
        <w:rPr>
          <w:rFonts w:cstheme="minorHAnsi"/>
          <w:sz w:val="24"/>
          <w:szCs w:val="24"/>
          <w:lang w:val="fr-FR"/>
        </w:rPr>
        <w:t>social (APS)</w:t>
      </w:r>
      <w:r w:rsidR="00B876A4" w:rsidRPr="00C16D03">
        <w:rPr>
          <w:rFonts w:cstheme="minorHAnsi"/>
          <w:sz w:val="24"/>
          <w:szCs w:val="24"/>
          <w:lang w:val="fr-FR"/>
        </w:rPr>
        <w:t xml:space="preserve"> </w:t>
      </w:r>
      <w:r w:rsidR="000A5054" w:rsidRPr="00C16D03">
        <w:rPr>
          <w:rFonts w:cstheme="minorHAnsi"/>
          <w:sz w:val="24"/>
          <w:szCs w:val="24"/>
          <w:lang w:val="fr-FR"/>
        </w:rPr>
        <w:t>et</w:t>
      </w:r>
      <w:r w:rsidR="00B876A4" w:rsidRPr="00C16D03">
        <w:rPr>
          <w:rFonts w:cstheme="minorHAnsi"/>
          <w:sz w:val="24"/>
          <w:szCs w:val="24"/>
          <w:lang w:val="fr-FR"/>
        </w:rPr>
        <w:t xml:space="preserve"> </w:t>
      </w:r>
      <w:r w:rsidR="000A5054" w:rsidRPr="00C16D03">
        <w:rPr>
          <w:rFonts w:cstheme="minorHAnsi"/>
          <w:sz w:val="24"/>
          <w:szCs w:val="24"/>
          <w:lang w:val="fr-FR"/>
        </w:rPr>
        <w:t>l’</w:t>
      </w:r>
      <w:r w:rsidR="00B876A4" w:rsidRPr="00C16D03">
        <w:rPr>
          <w:rFonts w:cstheme="minorHAnsi"/>
          <w:sz w:val="24"/>
          <w:szCs w:val="24"/>
          <w:lang w:val="fr-FR"/>
        </w:rPr>
        <w:t>éducation thérapeutique</w:t>
      </w:r>
      <w:r w:rsidR="00876492" w:rsidRPr="00C16D03">
        <w:rPr>
          <w:rFonts w:cstheme="minorHAnsi"/>
          <w:sz w:val="24"/>
          <w:szCs w:val="24"/>
          <w:lang w:val="fr-FR"/>
        </w:rPr>
        <w:t xml:space="preserve"> (ETP)</w:t>
      </w:r>
      <w:r w:rsidR="00B876A4" w:rsidRPr="00C16D03">
        <w:rPr>
          <w:rFonts w:cstheme="minorHAnsi"/>
          <w:sz w:val="24"/>
          <w:szCs w:val="24"/>
          <w:lang w:val="fr-FR"/>
        </w:rPr>
        <w:t>.</w:t>
      </w:r>
      <w:r w:rsidR="000A5054" w:rsidRPr="00C16D03">
        <w:rPr>
          <w:rFonts w:cstheme="minorHAnsi"/>
          <w:sz w:val="24"/>
          <w:szCs w:val="24"/>
          <w:lang w:val="fr-FR"/>
        </w:rPr>
        <w:t xml:space="preserve"> </w:t>
      </w:r>
      <w:r w:rsidR="001B5ED9" w:rsidRPr="00C16D03">
        <w:rPr>
          <w:rFonts w:cstheme="minorHAnsi"/>
          <w:sz w:val="24"/>
          <w:szCs w:val="24"/>
          <w:lang w:val="fr-FR"/>
        </w:rPr>
        <w:t xml:space="preserve">Ce sont des processus continus, intégrés dans les soins. </w:t>
      </w:r>
      <w:r w:rsidR="00752ADE" w:rsidRPr="00C16D03">
        <w:rPr>
          <w:rFonts w:cstheme="minorHAnsi"/>
          <w:sz w:val="24"/>
          <w:szCs w:val="24"/>
          <w:lang w:val="fr-FR"/>
        </w:rPr>
        <w:t xml:space="preserve">Centrés sur les besoins de la personne, ils </w:t>
      </w:r>
      <w:r w:rsidR="002B4DF8" w:rsidRPr="00C16D03">
        <w:rPr>
          <w:rFonts w:cstheme="minorHAnsi"/>
          <w:sz w:val="24"/>
          <w:szCs w:val="24"/>
          <w:lang w:val="fr-FR"/>
        </w:rPr>
        <w:t>permett</w:t>
      </w:r>
      <w:r w:rsidR="00752ADE" w:rsidRPr="00C16D03">
        <w:rPr>
          <w:rFonts w:cstheme="minorHAnsi"/>
          <w:sz w:val="24"/>
          <w:szCs w:val="24"/>
          <w:lang w:val="fr-FR"/>
        </w:rPr>
        <w:t>ent</w:t>
      </w:r>
      <w:r w:rsidR="002B4DF8" w:rsidRPr="00C16D03">
        <w:rPr>
          <w:rFonts w:cstheme="minorHAnsi"/>
          <w:sz w:val="24"/>
          <w:szCs w:val="24"/>
          <w:lang w:val="fr-FR"/>
        </w:rPr>
        <w:t xml:space="preserve"> de créer les conditions les plus favorables à la participation des usagers aux soins, notamment à une prise régulière du traitement et à un suivi </w:t>
      </w:r>
      <w:r w:rsidR="00752ADE" w:rsidRPr="00C16D03">
        <w:rPr>
          <w:rFonts w:cstheme="minorHAnsi"/>
          <w:sz w:val="24"/>
          <w:szCs w:val="24"/>
          <w:lang w:val="fr-FR"/>
        </w:rPr>
        <w:t xml:space="preserve">ordonné </w:t>
      </w:r>
      <w:r w:rsidR="002B4DF8" w:rsidRPr="00C16D03">
        <w:rPr>
          <w:rFonts w:cstheme="minorHAnsi"/>
          <w:sz w:val="24"/>
          <w:szCs w:val="24"/>
          <w:lang w:val="fr-FR"/>
        </w:rPr>
        <w:t>au long cours</w:t>
      </w:r>
      <w:r w:rsidR="00752ADE" w:rsidRPr="00C16D03">
        <w:rPr>
          <w:rFonts w:cstheme="minorHAnsi"/>
          <w:sz w:val="24"/>
          <w:szCs w:val="24"/>
          <w:lang w:val="fr-FR"/>
        </w:rPr>
        <w:t xml:space="preserve"> par le maintien d’une relation d’aide visant l’amélioration de la qualité de vie des personnes vivant avec le VIH/sida (PVVIH).</w:t>
      </w:r>
    </w:p>
    <w:p w:rsidR="00406B7E" w:rsidRPr="00C16D03" w:rsidRDefault="002B4DF8" w:rsidP="00C16D03">
      <w:pPr>
        <w:autoSpaceDE w:val="0"/>
        <w:autoSpaceDN w:val="0"/>
        <w:adjustRightInd w:val="0"/>
        <w:spacing w:after="0" w:line="276" w:lineRule="auto"/>
        <w:jc w:val="both"/>
        <w:rPr>
          <w:rFonts w:ascii="Calibri" w:hAnsi="Calibri" w:cs="Calibri"/>
          <w:sz w:val="24"/>
          <w:szCs w:val="24"/>
          <w:lang w:val="fr-FR"/>
        </w:rPr>
      </w:pPr>
      <w:r w:rsidRPr="00C16D03">
        <w:rPr>
          <w:rFonts w:cstheme="minorHAnsi"/>
          <w:color w:val="000000"/>
          <w:sz w:val="24"/>
          <w:szCs w:val="24"/>
          <w:lang w:val="fr-FR"/>
        </w:rPr>
        <w:t xml:space="preserve">Les </w:t>
      </w:r>
      <w:r w:rsidR="00752ADE" w:rsidRPr="00C16D03">
        <w:rPr>
          <w:rFonts w:cstheme="minorHAnsi"/>
          <w:color w:val="000000"/>
          <w:sz w:val="24"/>
          <w:szCs w:val="24"/>
          <w:lang w:val="fr-FR"/>
        </w:rPr>
        <w:t xml:space="preserve">récentes </w:t>
      </w:r>
      <w:r w:rsidRPr="00C16D03">
        <w:rPr>
          <w:rFonts w:cstheme="minorHAnsi"/>
          <w:color w:val="000000"/>
          <w:sz w:val="24"/>
          <w:szCs w:val="24"/>
          <w:lang w:val="fr-FR"/>
        </w:rPr>
        <w:t xml:space="preserve">statistiques sanitaires du programme VIH haïtien indiquent que le programme fait face à </w:t>
      </w:r>
      <w:r w:rsidR="005B2B0B" w:rsidRPr="00C16D03">
        <w:rPr>
          <w:rFonts w:cstheme="minorHAnsi"/>
          <w:color w:val="000000"/>
          <w:sz w:val="24"/>
          <w:szCs w:val="24"/>
          <w:lang w:val="fr-FR"/>
        </w:rPr>
        <w:t xml:space="preserve">de sérieux </w:t>
      </w:r>
      <w:r w:rsidRPr="00C16D03">
        <w:rPr>
          <w:rFonts w:cstheme="minorHAnsi"/>
          <w:color w:val="000000"/>
          <w:sz w:val="24"/>
          <w:szCs w:val="24"/>
          <w:lang w:val="fr-FR"/>
        </w:rPr>
        <w:t xml:space="preserve">défis </w:t>
      </w:r>
      <w:r w:rsidR="005B2B0B" w:rsidRPr="00C16D03">
        <w:rPr>
          <w:rFonts w:cstheme="minorHAnsi"/>
          <w:color w:val="000000"/>
          <w:sz w:val="24"/>
          <w:szCs w:val="24"/>
          <w:lang w:val="fr-FR"/>
        </w:rPr>
        <w:t xml:space="preserve">dont </w:t>
      </w:r>
      <w:r w:rsidRPr="00C16D03">
        <w:rPr>
          <w:rFonts w:cstheme="minorHAnsi"/>
          <w:color w:val="000000"/>
          <w:sz w:val="24"/>
          <w:szCs w:val="24"/>
          <w:lang w:val="fr-FR"/>
        </w:rPr>
        <w:t>une déperdition des patients sous TAR dans le circuit des soins de l’ordre de 30%</w:t>
      </w:r>
      <w:r w:rsidR="005B2B0B" w:rsidRPr="00C16D03">
        <w:rPr>
          <w:rFonts w:cstheme="minorHAnsi"/>
          <w:color w:val="000000"/>
          <w:sz w:val="24"/>
          <w:szCs w:val="24"/>
          <w:lang w:val="fr-FR"/>
        </w:rPr>
        <w:t xml:space="preserve">. Cette hausse de perdue de vue des patients sous TAR dans les soins est observée à travers tous les sites de prestations soins ARV, et semble être l’une des premières causes de la faible rétention continue des patients sous TAR en soins. </w:t>
      </w:r>
      <w:r w:rsidR="00844D7B" w:rsidRPr="00C16D03">
        <w:rPr>
          <w:rFonts w:cstheme="minorHAnsi"/>
          <w:color w:val="000000"/>
          <w:sz w:val="24"/>
          <w:szCs w:val="24"/>
          <w:lang w:val="fr-FR"/>
        </w:rPr>
        <w:t>A cet effet, plusieurs acteurs et partenaires jugent qu’il est nécessaire de</w:t>
      </w:r>
      <w:r w:rsidR="00844D7B" w:rsidRPr="00C16D03">
        <w:rPr>
          <w:rFonts w:ascii="Calibri" w:hAnsi="Calibri" w:cs="Calibri"/>
          <w:sz w:val="24"/>
          <w:szCs w:val="24"/>
          <w:lang w:val="fr-FR"/>
        </w:rPr>
        <w:t xml:space="preserve"> renforcer les connaissances des personnes vivant avec le VIH ainsi que leur capacité à faire des choix éclairés dans leur parcours de soins</w:t>
      </w:r>
      <w:r w:rsidR="00406B7E" w:rsidRPr="00C16D03">
        <w:rPr>
          <w:rFonts w:ascii="Calibri" w:hAnsi="Calibri" w:cs="Calibri"/>
          <w:sz w:val="24"/>
          <w:szCs w:val="24"/>
          <w:lang w:val="fr-FR"/>
        </w:rPr>
        <w:t xml:space="preserve"> en leur offrant de l’information ciblée</w:t>
      </w:r>
      <w:r w:rsidR="00752ADE" w:rsidRPr="00C16D03">
        <w:rPr>
          <w:rFonts w:ascii="Calibri" w:hAnsi="Calibri" w:cs="Calibri"/>
          <w:sz w:val="24"/>
          <w:szCs w:val="24"/>
          <w:lang w:val="fr-FR"/>
        </w:rPr>
        <w:t xml:space="preserve">, avec </w:t>
      </w:r>
      <w:r w:rsidR="00406B7E" w:rsidRPr="00C16D03">
        <w:rPr>
          <w:rFonts w:ascii="Calibri" w:hAnsi="Calibri" w:cs="Calibri"/>
          <w:sz w:val="24"/>
          <w:szCs w:val="24"/>
          <w:lang w:val="fr-FR"/>
        </w:rPr>
        <w:t xml:space="preserve">comme conséquence le renforcement de l’adhésion des patients </w:t>
      </w:r>
      <w:r w:rsidR="00752ADE" w:rsidRPr="00C16D03">
        <w:rPr>
          <w:rFonts w:ascii="Calibri" w:hAnsi="Calibri" w:cs="Calibri"/>
          <w:sz w:val="24"/>
          <w:szCs w:val="24"/>
          <w:lang w:val="fr-FR"/>
        </w:rPr>
        <w:t>aux soins</w:t>
      </w:r>
      <w:r w:rsidR="00406B7E" w:rsidRPr="00C16D03">
        <w:rPr>
          <w:rFonts w:ascii="Calibri" w:hAnsi="Calibri" w:cs="Calibri"/>
          <w:sz w:val="24"/>
          <w:szCs w:val="24"/>
          <w:lang w:val="fr-FR"/>
        </w:rPr>
        <w:t xml:space="preserve">, </w:t>
      </w:r>
      <w:r w:rsidR="00752ADE" w:rsidRPr="00C16D03">
        <w:rPr>
          <w:rFonts w:ascii="Calibri" w:hAnsi="Calibri" w:cs="Calibri"/>
          <w:sz w:val="24"/>
          <w:szCs w:val="24"/>
          <w:lang w:val="fr-FR"/>
        </w:rPr>
        <w:t>une meilleure observance capable de réduire les situations d’</w:t>
      </w:r>
      <w:r w:rsidR="00406B7E" w:rsidRPr="00C16D03">
        <w:rPr>
          <w:rFonts w:ascii="Calibri" w:hAnsi="Calibri" w:cs="Calibri"/>
          <w:sz w:val="24"/>
          <w:szCs w:val="24"/>
          <w:lang w:val="fr-FR"/>
        </w:rPr>
        <w:t>échecs thérapeutiques</w:t>
      </w:r>
      <w:r w:rsidR="00752ADE" w:rsidRPr="00C16D03">
        <w:rPr>
          <w:rFonts w:ascii="Calibri" w:hAnsi="Calibri" w:cs="Calibri"/>
          <w:sz w:val="24"/>
          <w:szCs w:val="24"/>
          <w:lang w:val="fr-FR"/>
        </w:rPr>
        <w:t xml:space="preserve"> et d’attrition des patients sous TAR.</w:t>
      </w:r>
      <w:r w:rsidR="00406B7E" w:rsidRPr="00C16D03">
        <w:rPr>
          <w:rFonts w:ascii="Calibri" w:hAnsi="Calibri" w:cs="Calibri"/>
          <w:sz w:val="24"/>
          <w:szCs w:val="24"/>
          <w:lang w:val="fr-FR"/>
        </w:rPr>
        <w:t xml:space="preserve"> </w:t>
      </w:r>
    </w:p>
    <w:p w:rsidR="00DF1BBC" w:rsidRPr="00C16D03" w:rsidRDefault="00DF1BBC" w:rsidP="00C16D03">
      <w:pPr>
        <w:autoSpaceDE w:val="0"/>
        <w:autoSpaceDN w:val="0"/>
        <w:adjustRightInd w:val="0"/>
        <w:spacing w:after="0" w:line="276" w:lineRule="auto"/>
        <w:jc w:val="both"/>
        <w:rPr>
          <w:rFonts w:ascii="Calibri" w:hAnsi="Calibri" w:cs="Calibri"/>
          <w:sz w:val="24"/>
          <w:szCs w:val="24"/>
          <w:lang w:val="fr-FR"/>
        </w:rPr>
      </w:pPr>
    </w:p>
    <w:p w:rsidR="00DF1BBC" w:rsidRDefault="00DF1BBC" w:rsidP="00C16D03">
      <w:pPr>
        <w:autoSpaceDE w:val="0"/>
        <w:autoSpaceDN w:val="0"/>
        <w:adjustRightInd w:val="0"/>
        <w:spacing w:after="0" w:line="276" w:lineRule="auto"/>
        <w:jc w:val="both"/>
        <w:rPr>
          <w:rFonts w:ascii="Calibri" w:hAnsi="Calibri" w:cs="Calibri"/>
          <w:sz w:val="24"/>
          <w:szCs w:val="24"/>
          <w:lang w:val="fr-FR"/>
        </w:rPr>
      </w:pPr>
      <w:r w:rsidRPr="00C16D03">
        <w:rPr>
          <w:rFonts w:ascii="Calibri" w:hAnsi="Calibri" w:cs="Calibri"/>
          <w:sz w:val="24"/>
          <w:szCs w:val="24"/>
          <w:lang w:val="fr-FR"/>
        </w:rPr>
        <w:t>En raiso</w:t>
      </w:r>
      <w:r w:rsidR="00F55203" w:rsidRPr="00C16D03">
        <w:rPr>
          <w:rFonts w:ascii="Calibri" w:hAnsi="Calibri" w:cs="Calibri"/>
          <w:sz w:val="24"/>
          <w:szCs w:val="24"/>
          <w:lang w:val="fr-FR"/>
        </w:rPr>
        <w:t>n de l</w:t>
      </w:r>
      <w:r w:rsidRPr="00C16D03">
        <w:rPr>
          <w:rFonts w:ascii="Calibri" w:hAnsi="Calibri" w:cs="Calibri"/>
          <w:sz w:val="24"/>
          <w:szCs w:val="24"/>
          <w:lang w:val="fr-FR"/>
        </w:rPr>
        <w:t>’existence d’un grand nombre de personnes en soins perdues de vues au niveau du programme VIH haïtien,</w:t>
      </w:r>
      <w:r w:rsidR="00876492" w:rsidRPr="00C16D03">
        <w:rPr>
          <w:rFonts w:ascii="Calibri" w:hAnsi="Calibri" w:cs="Calibri"/>
          <w:sz w:val="24"/>
          <w:szCs w:val="24"/>
          <w:lang w:val="fr-FR"/>
        </w:rPr>
        <w:t xml:space="preserve"> </w:t>
      </w:r>
      <w:r w:rsidR="000E2457" w:rsidRPr="00C16D03">
        <w:rPr>
          <w:rFonts w:ascii="Calibri" w:hAnsi="Calibri" w:cs="Calibri"/>
          <w:sz w:val="24"/>
          <w:szCs w:val="24"/>
          <w:lang w:val="fr-FR"/>
        </w:rPr>
        <w:t>il a</w:t>
      </w:r>
      <w:r w:rsidR="00876492" w:rsidRPr="00C16D03">
        <w:rPr>
          <w:rFonts w:ascii="Calibri" w:hAnsi="Calibri" w:cs="Calibri"/>
          <w:sz w:val="24"/>
          <w:szCs w:val="24"/>
          <w:lang w:val="fr-FR"/>
        </w:rPr>
        <w:t xml:space="preserve"> été jugé nécessaire</w:t>
      </w:r>
      <w:r w:rsidR="000E2457" w:rsidRPr="00C16D03">
        <w:rPr>
          <w:rFonts w:ascii="Calibri" w:hAnsi="Calibri" w:cs="Calibri"/>
          <w:sz w:val="24"/>
          <w:szCs w:val="24"/>
          <w:lang w:val="fr-FR"/>
        </w:rPr>
        <w:t xml:space="preserve"> de renforcer</w:t>
      </w:r>
      <w:r w:rsidR="00876492" w:rsidRPr="00C16D03">
        <w:rPr>
          <w:rFonts w:ascii="Calibri" w:hAnsi="Calibri" w:cs="Calibri"/>
          <w:sz w:val="24"/>
          <w:szCs w:val="24"/>
          <w:lang w:val="fr-FR"/>
        </w:rPr>
        <w:t xml:space="preserve"> la relation d’aide existante entre le prestataire et le patient. Pour atteindre cet objectif, un renforcement de la connaissance des prestataires de soins œuvrant dans la dispensation des soins VIH sur l’ETP et l’APS s’avèrent être un impératif. Cette velléité à renforcer la connaissance de ces derniers partent de l’hypothèse qu’un professionnel mieux forme serait davantage en mesure d’une part </w:t>
      </w:r>
      <w:r w:rsidR="00876492" w:rsidRPr="00C16D03">
        <w:rPr>
          <w:rFonts w:ascii="Calibri" w:hAnsi="Calibri" w:cs="Calibri"/>
          <w:sz w:val="24"/>
          <w:szCs w:val="24"/>
          <w:lang w:val="fr-FR"/>
        </w:rPr>
        <w:lastRenderedPageBreak/>
        <w:t xml:space="preserve">d’identifier les besoins réels des usagers et d’autre part d’apporter une réponse appropriée à ces derniers </w:t>
      </w:r>
      <w:r w:rsidR="00C16D03">
        <w:rPr>
          <w:rFonts w:ascii="Calibri" w:hAnsi="Calibri" w:cs="Calibri"/>
          <w:sz w:val="24"/>
          <w:szCs w:val="24"/>
          <w:lang w:val="fr-FR"/>
        </w:rPr>
        <w:t>dans son</w:t>
      </w:r>
      <w:r w:rsidR="00876492" w:rsidRPr="00C16D03">
        <w:rPr>
          <w:rFonts w:ascii="Calibri" w:hAnsi="Calibri" w:cs="Calibri"/>
          <w:sz w:val="24"/>
          <w:szCs w:val="24"/>
          <w:lang w:val="fr-FR"/>
        </w:rPr>
        <w:t xml:space="preserve"> contexte de vie. C’est dans cette optique que le </w:t>
      </w:r>
      <w:r w:rsidR="00C16D03" w:rsidRPr="00C16D03">
        <w:rPr>
          <w:rFonts w:ascii="Calibri" w:hAnsi="Calibri" w:cs="Calibri"/>
          <w:sz w:val="24"/>
          <w:szCs w:val="24"/>
          <w:lang w:val="fr-FR"/>
        </w:rPr>
        <w:t>Programme national de lutte contre les IST/VIH/Sida (PNLS) est à la recherche d’un consultant/d’une institution pour l’organisation de deux sessions de formation sur l’Education thérapeutique et la Prise en charge psychosociale en faveur des prestataires de soins du programme VIH/sida à partir des outils de référence développés à cet effet</w:t>
      </w:r>
      <w:r w:rsidR="000D5D26">
        <w:rPr>
          <w:rFonts w:ascii="Calibri" w:hAnsi="Calibri" w:cs="Calibri"/>
          <w:sz w:val="24"/>
          <w:szCs w:val="24"/>
          <w:lang w:val="fr-FR"/>
        </w:rPr>
        <w:t xml:space="preserve"> à savoir les documents suivants </w:t>
      </w:r>
      <w:r w:rsidR="000D5D26" w:rsidRPr="000D5D26">
        <w:rPr>
          <w:rFonts w:ascii="Calibri" w:hAnsi="Calibri" w:cs="Calibri"/>
          <w:b/>
          <w:bCs/>
          <w:i/>
          <w:iCs/>
          <w:sz w:val="24"/>
          <w:szCs w:val="24"/>
          <w:lang w:val="fr-FR"/>
        </w:rPr>
        <w:t>(Manuel national et outils d’ETP</w:t>
      </w:r>
      <w:r w:rsidR="00C16D03" w:rsidRPr="000D5D26">
        <w:rPr>
          <w:rFonts w:ascii="Calibri" w:hAnsi="Calibri" w:cs="Calibri"/>
          <w:b/>
          <w:bCs/>
          <w:i/>
          <w:iCs/>
          <w:sz w:val="24"/>
          <w:szCs w:val="24"/>
          <w:lang w:val="fr-FR"/>
        </w:rPr>
        <w:t xml:space="preserve"> </w:t>
      </w:r>
      <w:r w:rsidR="000D5D26" w:rsidRPr="000D5D26">
        <w:rPr>
          <w:rFonts w:ascii="Calibri" w:hAnsi="Calibri" w:cs="Calibri"/>
          <w:b/>
          <w:bCs/>
          <w:i/>
          <w:iCs/>
          <w:sz w:val="24"/>
          <w:szCs w:val="24"/>
          <w:lang w:val="fr-FR"/>
        </w:rPr>
        <w:t>et APS centr</w:t>
      </w:r>
      <w:r w:rsidR="000D5D26">
        <w:rPr>
          <w:rFonts w:ascii="Calibri" w:hAnsi="Calibri" w:cs="Calibri"/>
          <w:b/>
          <w:bCs/>
          <w:i/>
          <w:iCs/>
          <w:sz w:val="24"/>
          <w:szCs w:val="24"/>
          <w:lang w:val="fr-FR"/>
        </w:rPr>
        <w:t>é</w:t>
      </w:r>
      <w:r w:rsidR="000D5D26" w:rsidRPr="000D5D26">
        <w:rPr>
          <w:rFonts w:ascii="Calibri" w:hAnsi="Calibri" w:cs="Calibri"/>
          <w:b/>
          <w:bCs/>
          <w:i/>
          <w:iCs/>
          <w:sz w:val="24"/>
          <w:szCs w:val="24"/>
          <w:lang w:val="fr-FR"/>
        </w:rPr>
        <w:t xml:space="preserve"> sur les PVVIH en milieu de soins publies en 2017).</w:t>
      </w:r>
    </w:p>
    <w:p w:rsidR="00C16D03" w:rsidRDefault="00C16D03" w:rsidP="00C16D03">
      <w:pPr>
        <w:autoSpaceDE w:val="0"/>
        <w:autoSpaceDN w:val="0"/>
        <w:adjustRightInd w:val="0"/>
        <w:spacing w:after="0" w:line="276" w:lineRule="auto"/>
        <w:jc w:val="both"/>
        <w:rPr>
          <w:rFonts w:ascii="Calibri" w:hAnsi="Calibri" w:cs="Calibri"/>
          <w:sz w:val="24"/>
          <w:szCs w:val="24"/>
          <w:lang w:val="fr-FR"/>
        </w:rPr>
      </w:pPr>
    </w:p>
    <w:p w:rsidR="00C16D03" w:rsidRPr="00D327B2" w:rsidRDefault="00C16D03" w:rsidP="00C16D03">
      <w:pPr>
        <w:autoSpaceDE w:val="0"/>
        <w:autoSpaceDN w:val="0"/>
        <w:adjustRightInd w:val="0"/>
        <w:spacing w:after="0" w:line="276" w:lineRule="auto"/>
        <w:jc w:val="both"/>
        <w:rPr>
          <w:rFonts w:ascii="Calibri" w:hAnsi="Calibri" w:cs="Calibri"/>
          <w:b/>
          <w:bCs/>
          <w:sz w:val="24"/>
          <w:szCs w:val="24"/>
          <w:lang w:val="fr-FR"/>
        </w:rPr>
      </w:pPr>
      <w:r w:rsidRPr="00D327B2">
        <w:rPr>
          <w:rFonts w:ascii="Calibri" w:hAnsi="Calibri" w:cs="Calibri"/>
          <w:b/>
          <w:bCs/>
          <w:sz w:val="24"/>
          <w:szCs w:val="24"/>
          <w:lang w:val="fr-FR"/>
        </w:rPr>
        <w:t>Objectifs de la formation</w:t>
      </w:r>
    </w:p>
    <w:p w:rsidR="00C16D03" w:rsidRPr="00D327B2" w:rsidRDefault="00C16D03" w:rsidP="00C16D03">
      <w:pPr>
        <w:autoSpaceDE w:val="0"/>
        <w:autoSpaceDN w:val="0"/>
        <w:adjustRightInd w:val="0"/>
        <w:spacing w:after="0" w:line="276" w:lineRule="auto"/>
        <w:jc w:val="both"/>
        <w:rPr>
          <w:rFonts w:ascii="Calibri" w:hAnsi="Calibri" w:cs="Calibri"/>
          <w:b/>
          <w:bCs/>
          <w:sz w:val="24"/>
          <w:szCs w:val="24"/>
          <w:lang w:val="fr-FR"/>
        </w:rPr>
      </w:pPr>
      <w:r w:rsidRPr="00D327B2">
        <w:rPr>
          <w:rFonts w:ascii="Calibri" w:hAnsi="Calibri" w:cs="Calibri"/>
          <w:b/>
          <w:bCs/>
          <w:sz w:val="24"/>
          <w:szCs w:val="24"/>
          <w:lang w:val="fr-FR"/>
        </w:rPr>
        <w:t xml:space="preserve">Objectif </w:t>
      </w:r>
      <w:r w:rsidR="00014A84" w:rsidRPr="00D327B2">
        <w:rPr>
          <w:rFonts w:ascii="Calibri" w:hAnsi="Calibri" w:cs="Calibri"/>
          <w:b/>
          <w:bCs/>
          <w:sz w:val="24"/>
          <w:szCs w:val="24"/>
          <w:lang w:val="fr-FR"/>
        </w:rPr>
        <w:t>général</w:t>
      </w:r>
    </w:p>
    <w:p w:rsidR="00014A84" w:rsidRDefault="00014A84" w:rsidP="00C16D03">
      <w:pPr>
        <w:autoSpaceDE w:val="0"/>
        <w:autoSpaceDN w:val="0"/>
        <w:adjustRightInd w:val="0"/>
        <w:spacing w:after="0" w:line="276" w:lineRule="auto"/>
        <w:jc w:val="both"/>
        <w:rPr>
          <w:rFonts w:ascii="Calibri" w:hAnsi="Calibri" w:cs="Calibri"/>
          <w:sz w:val="24"/>
          <w:szCs w:val="24"/>
          <w:lang w:val="fr-FR"/>
        </w:rPr>
      </w:pPr>
      <w:r>
        <w:rPr>
          <w:rFonts w:ascii="Calibri" w:hAnsi="Calibri" w:cs="Calibri"/>
          <w:sz w:val="24"/>
          <w:szCs w:val="24"/>
          <w:lang w:val="fr-FR"/>
        </w:rPr>
        <w:t xml:space="preserve">Ces sessions de formation visent à renforcer les capacités </w:t>
      </w:r>
      <w:r w:rsidRPr="00014A84">
        <w:rPr>
          <w:rFonts w:ascii="Calibri" w:hAnsi="Calibri" w:cs="Calibri"/>
          <w:sz w:val="24"/>
          <w:szCs w:val="24"/>
          <w:lang w:val="fr-FR"/>
        </w:rPr>
        <w:t>(connaissances, attitudes et aptitudes)</w:t>
      </w:r>
      <w:r>
        <w:rPr>
          <w:rFonts w:ascii="Calibri" w:hAnsi="Calibri" w:cs="Calibri"/>
          <w:sz w:val="24"/>
          <w:szCs w:val="24"/>
          <w:lang w:val="fr-FR"/>
        </w:rPr>
        <w:t xml:space="preserve"> </w:t>
      </w:r>
      <w:r w:rsidRPr="00014A84">
        <w:rPr>
          <w:rFonts w:ascii="Calibri" w:hAnsi="Calibri" w:cs="Calibri"/>
          <w:sz w:val="24"/>
          <w:szCs w:val="24"/>
          <w:lang w:val="fr-FR"/>
        </w:rPr>
        <w:t>d</w:t>
      </w:r>
      <w:r w:rsidR="00FB21F3">
        <w:rPr>
          <w:rFonts w:ascii="Calibri" w:hAnsi="Calibri" w:cs="Calibri"/>
          <w:sz w:val="24"/>
          <w:szCs w:val="24"/>
          <w:lang w:val="fr-FR"/>
        </w:rPr>
        <w:t>’une trentaine de</w:t>
      </w:r>
      <w:r>
        <w:rPr>
          <w:rFonts w:ascii="Calibri" w:hAnsi="Calibri" w:cs="Calibri"/>
          <w:sz w:val="24"/>
          <w:szCs w:val="24"/>
          <w:lang w:val="fr-FR"/>
        </w:rPr>
        <w:t xml:space="preserve"> prestataires de soins du programme VIH (médecins, infirmières, psychologues etc…) en ETP et APS selon les directives nationales du PNLS à l’aide des normes et </w:t>
      </w:r>
      <w:r w:rsidRPr="00014A84">
        <w:rPr>
          <w:rFonts w:ascii="Calibri" w:hAnsi="Calibri" w:cs="Calibri"/>
          <w:sz w:val="24"/>
          <w:szCs w:val="24"/>
          <w:lang w:val="fr-FR"/>
        </w:rPr>
        <w:t>outils de référence développés</w:t>
      </w:r>
      <w:r>
        <w:rPr>
          <w:rFonts w:ascii="Calibri" w:hAnsi="Calibri" w:cs="Calibri"/>
          <w:sz w:val="24"/>
          <w:szCs w:val="24"/>
          <w:lang w:val="fr-FR"/>
        </w:rPr>
        <w:t xml:space="preserve">. </w:t>
      </w:r>
    </w:p>
    <w:p w:rsidR="00C16D03" w:rsidRDefault="00C16D03" w:rsidP="00C16D03">
      <w:pPr>
        <w:autoSpaceDE w:val="0"/>
        <w:autoSpaceDN w:val="0"/>
        <w:adjustRightInd w:val="0"/>
        <w:spacing w:after="0" w:line="276" w:lineRule="auto"/>
        <w:jc w:val="both"/>
        <w:rPr>
          <w:rFonts w:ascii="Calibri" w:hAnsi="Calibri" w:cs="Calibri"/>
          <w:sz w:val="24"/>
          <w:szCs w:val="24"/>
          <w:lang w:val="fr-FR"/>
        </w:rPr>
      </w:pPr>
    </w:p>
    <w:p w:rsidR="00C16D03" w:rsidRPr="00103474" w:rsidRDefault="00C16D03" w:rsidP="00C16D03">
      <w:pPr>
        <w:autoSpaceDE w:val="0"/>
        <w:autoSpaceDN w:val="0"/>
        <w:adjustRightInd w:val="0"/>
        <w:spacing w:after="0" w:line="276" w:lineRule="auto"/>
        <w:jc w:val="both"/>
        <w:rPr>
          <w:rFonts w:ascii="Calibri" w:hAnsi="Calibri" w:cs="Calibri"/>
          <w:b/>
          <w:bCs/>
          <w:sz w:val="24"/>
          <w:szCs w:val="24"/>
          <w:lang w:val="fr-FR"/>
        </w:rPr>
      </w:pPr>
      <w:r w:rsidRPr="00103474">
        <w:rPr>
          <w:rFonts w:ascii="Calibri" w:hAnsi="Calibri" w:cs="Calibri"/>
          <w:b/>
          <w:bCs/>
          <w:sz w:val="24"/>
          <w:szCs w:val="24"/>
          <w:lang w:val="fr-FR"/>
        </w:rPr>
        <w:t>Objectifs spécifiques</w:t>
      </w:r>
    </w:p>
    <w:p w:rsidR="00C21EA0" w:rsidRPr="00103474" w:rsidRDefault="00C21EA0" w:rsidP="00103474">
      <w:pPr>
        <w:pStyle w:val="ListParagraph"/>
        <w:numPr>
          <w:ilvl w:val="0"/>
          <w:numId w:val="1"/>
        </w:numPr>
        <w:autoSpaceDE w:val="0"/>
        <w:autoSpaceDN w:val="0"/>
        <w:adjustRightInd w:val="0"/>
        <w:spacing w:after="0" w:line="276" w:lineRule="auto"/>
        <w:jc w:val="both"/>
        <w:rPr>
          <w:rFonts w:ascii="Calibri" w:hAnsi="Calibri" w:cs="Calibri"/>
          <w:sz w:val="24"/>
          <w:szCs w:val="24"/>
          <w:lang w:val="fr-FR"/>
        </w:rPr>
      </w:pPr>
      <w:r w:rsidRPr="00103474">
        <w:rPr>
          <w:rFonts w:ascii="Calibri" w:hAnsi="Calibri" w:cs="Calibri"/>
          <w:sz w:val="24"/>
          <w:szCs w:val="24"/>
          <w:lang w:val="fr-FR"/>
        </w:rPr>
        <w:t xml:space="preserve">Augmenter les connaissances et le savoir-faire </w:t>
      </w:r>
      <w:bookmarkStart w:id="0" w:name="_Hlk15650053"/>
      <w:r w:rsidRPr="00103474">
        <w:rPr>
          <w:rFonts w:ascii="Calibri" w:hAnsi="Calibri" w:cs="Calibri"/>
          <w:sz w:val="24"/>
          <w:szCs w:val="24"/>
          <w:lang w:val="fr-FR"/>
        </w:rPr>
        <w:t xml:space="preserve">des prestataires de soins du programme VIH </w:t>
      </w:r>
      <w:bookmarkEnd w:id="0"/>
      <w:r w:rsidRPr="00103474">
        <w:rPr>
          <w:rFonts w:ascii="Calibri" w:hAnsi="Calibri" w:cs="Calibri"/>
          <w:sz w:val="24"/>
          <w:szCs w:val="24"/>
          <w:lang w:val="fr-FR"/>
        </w:rPr>
        <w:t xml:space="preserve">sur les techniques/compétences pratiques, </w:t>
      </w:r>
      <w:r w:rsidR="00C14BD9" w:rsidRPr="00103474">
        <w:rPr>
          <w:rFonts w:ascii="Calibri" w:hAnsi="Calibri" w:cs="Calibri"/>
          <w:sz w:val="24"/>
          <w:szCs w:val="24"/>
          <w:lang w:val="fr-FR"/>
        </w:rPr>
        <w:t xml:space="preserve">et </w:t>
      </w:r>
      <w:r w:rsidRPr="00103474">
        <w:rPr>
          <w:rFonts w:ascii="Calibri" w:hAnsi="Calibri" w:cs="Calibri"/>
          <w:sz w:val="24"/>
          <w:szCs w:val="24"/>
          <w:lang w:val="fr-FR"/>
        </w:rPr>
        <w:t xml:space="preserve">les principes éthiques </w:t>
      </w:r>
      <w:r w:rsidR="00C14BD9" w:rsidRPr="00103474">
        <w:rPr>
          <w:rFonts w:ascii="Calibri" w:hAnsi="Calibri" w:cs="Calibri"/>
          <w:sz w:val="24"/>
          <w:szCs w:val="24"/>
          <w:lang w:val="fr-FR"/>
        </w:rPr>
        <w:t>sur l’APS et l’ETP ;</w:t>
      </w:r>
    </w:p>
    <w:p w:rsidR="00103474" w:rsidRDefault="00103474" w:rsidP="00103474">
      <w:pPr>
        <w:pStyle w:val="ListParagraph"/>
        <w:numPr>
          <w:ilvl w:val="0"/>
          <w:numId w:val="1"/>
        </w:numPr>
        <w:autoSpaceDE w:val="0"/>
        <w:autoSpaceDN w:val="0"/>
        <w:adjustRightInd w:val="0"/>
        <w:spacing w:after="0" w:line="276" w:lineRule="auto"/>
        <w:jc w:val="both"/>
        <w:rPr>
          <w:rFonts w:ascii="Calibri" w:hAnsi="Calibri" w:cs="Calibri"/>
          <w:sz w:val="24"/>
          <w:szCs w:val="24"/>
          <w:lang w:val="fr-FR"/>
        </w:rPr>
      </w:pPr>
      <w:r>
        <w:rPr>
          <w:rFonts w:ascii="Calibri" w:hAnsi="Calibri" w:cs="Calibri"/>
          <w:sz w:val="24"/>
          <w:szCs w:val="24"/>
          <w:lang w:val="fr-FR"/>
        </w:rPr>
        <w:t xml:space="preserve">Utiliser </w:t>
      </w:r>
      <w:bookmarkStart w:id="1" w:name="_Hlk15652414"/>
      <w:r>
        <w:rPr>
          <w:rFonts w:ascii="Calibri" w:hAnsi="Calibri" w:cs="Calibri"/>
          <w:sz w:val="24"/>
          <w:szCs w:val="24"/>
          <w:lang w:val="fr-FR"/>
        </w:rPr>
        <w:t xml:space="preserve">les </w:t>
      </w:r>
      <w:r w:rsidR="00C14BD9" w:rsidRPr="00103474">
        <w:rPr>
          <w:rFonts w:ascii="Calibri" w:hAnsi="Calibri" w:cs="Calibri"/>
          <w:sz w:val="24"/>
          <w:szCs w:val="24"/>
          <w:lang w:val="fr-FR"/>
        </w:rPr>
        <w:t xml:space="preserve">outils et stratégies </w:t>
      </w:r>
      <w:r>
        <w:rPr>
          <w:rFonts w:ascii="Calibri" w:hAnsi="Calibri" w:cs="Calibri"/>
          <w:sz w:val="24"/>
          <w:szCs w:val="24"/>
          <w:lang w:val="fr-FR"/>
        </w:rPr>
        <w:t xml:space="preserve">pratiques disponibles </w:t>
      </w:r>
      <w:bookmarkEnd w:id="1"/>
      <w:r>
        <w:rPr>
          <w:rFonts w:ascii="Calibri" w:hAnsi="Calibri" w:cs="Calibri"/>
          <w:sz w:val="24"/>
          <w:szCs w:val="24"/>
          <w:lang w:val="fr-FR"/>
        </w:rPr>
        <w:t xml:space="preserve">selon les directives du PNLS pour favoriser </w:t>
      </w:r>
      <w:bookmarkStart w:id="2" w:name="_Hlk15652944"/>
      <w:r>
        <w:rPr>
          <w:rFonts w:ascii="Calibri" w:hAnsi="Calibri" w:cs="Calibri"/>
          <w:sz w:val="24"/>
          <w:szCs w:val="24"/>
          <w:lang w:val="fr-FR"/>
        </w:rPr>
        <w:t xml:space="preserve">les </w:t>
      </w:r>
      <w:r w:rsidR="00C14BD9" w:rsidRPr="00103474">
        <w:rPr>
          <w:rFonts w:ascii="Calibri" w:hAnsi="Calibri" w:cs="Calibri"/>
          <w:sz w:val="24"/>
          <w:szCs w:val="24"/>
          <w:lang w:val="fr-FR"/>
        </w:rPr>
        <w:t xml:space="preserve">démarches éducatives </w:t>
      </w:r>
      <w:bookmarkEnd w:id="2"/>
      <w:r>
        <w:rPr>
          <w:rFonts w:ascii="Calibri" w:hAnsi="Calibri" w:cs="Calibri"/>
          <w:sz w:val="24"/>
          <w:szCs w:val="24"/>
          <w:lang w:val="fr-FR"/>
        </w:rPr>
        <w:t>dans le cadre de l’</w:t>
      </w:r>
      <w:r w:rsidR="00C14BD9" w:rsidRPr="00103474">
        <w:rPr>
          <w:rFonts w:ascii="Calibri" w:hAnsi="Calibri" w:cs="Calibri"/>
          <w:sz w:val="24"/>
          <w:szCs w:val="24"/>
          <w:lang w:val="fr-FR"/>
        </w:rPr>
        <w:t xml:space="preserve">APS et </w:t>
      </w:r>
      <w:r>
        <w:rPr>
          <w:rFonts w:ascii="Calibri" w:hAnsi="Calibri" w:cs="Calibri"/>
          <w:sz w:val="24"/>
          <w:szCs w:val="24"/>
          <w:lang w:val="fr-FR"/>
        </w:rPr>
        <w:t>l’</w:t>
      </w:r>
      <w:r w:rsidR="00C14BD9" w:rsidRPr="00103474">
        <w:rPr>
          <w:rFonts w:ascii="Calibri" w:hAnsi="Calibri" w:cs="Calibri"/>
          <w:sz w:val="24"/>
          <w:szCs w:val="24"/>
          <w:lang w:val="fr-FR"/>
        </w:rPr>
        <w:t>ETP</w:t>
      </w:r>
      <w:r>
        <w:rPr>
          <w:rFonts w:ascii="Calibri" w:hAnsi="Calibri" w:cs="Calibri"/>
          <w:sz w:val="24"/>
          <w:szCs w:val="24"/>
          <w:lang w:val="fr-FR"/>
        </w:rPr>
        <w:t> ;</w:t>
      </w:r>
    </w:p>
    <w:p w:rsidR="00C14BD9" w:rsidRDefault="00103474" w:rsidP="00103474">
      <w:pPr>
        <w:pStyle w:val="ListParagraph"/>
        <w:numPr>
          <w:ilvl w:val="0"/>
          <w:numId w:val="1"/>
        </w:numPr>
        <w:autoSpaceDE w:val="0"/>
        <w:autoSpaceDN w:val="0"/>
        <w:adjustRightInd w:val="0"/>
        <w:spacing w:after="0" w:line="276" w:lineRule="auto"/>
        <w:jc w:val="both"/>
        <w:rPr>
          <w:rFonts w:ascii="Calibri" w:hAnsi="Calibri" w:cs="Calibri"/>
          <w:sz w:val="24"/>
          <w:szCs w:val="24"/>
          <w:lang w:val="fr-FR"/>
        </w:rPr>
      </w:pPr>
      <w:r>
        <w:rPr>
          <w:rFonts w:ascii="Calibri" w:hAnsi="Calibri" w:cs="Calibri"/>
          <w:sz w:val="24"/>
          <w:szCs w:val="24"/>
          <w:lang w:val="fr-FR"/>
        </w:rPr>
        <w:t xml:space="preserve">Doter les prestataires de soins du programme VIH de stratégies adaptées par le biais d’activités pratiques capables </w:t>
      </w:r>
      <w:r w:rsidR="00D327B2">
        <w:rPr>
          <w:rFonts w:ascii="Calibri" w:hAnsi="Calibri" w:cs="Calibri"/>
          <w:sz w:val="24"/>
          <w:szCs w:val="24"/>
          <w:lang w:val="fr-FR"/>
        </w:rPr>
        <w:t xml:space="preserve">de favoriser l’observance et </w:t>
      </w:r>
      <w:r>
        <w:rPr>
          <w:rFonts w:ascii="Calibri" w:hAnsi="Calibri" w:cs="Calibri"/>
          <w:sz w:val="24"/>
          <w:szCs w:val="24"/>
          <w:lang w:val="fr-FR"/>
        </w:rPr>
        <w:t>d’améliorer</w:t>
      </w:r>
      <w:r w:rsidR="00D327B2">
        <w:rPr>
          <w:rFonts w:ascii="Calibri" w:hAnsi="Calibri" w:cs="Calibri"/>
          <w:sz w:val="24"/>
          <w:szCs w:val="24"/>
          <w:lang w:val="fr-FR"/>
        </w:rPr>
        <w:t xml:space="preserve"> la rétention en soins des patients sous TAR.</w:t>
      </w:r>
      <w:r>
        <w:rPr>
          <w:rFonts w:ascii="Calibri" w:hAnsi="Calibri" w:cs="Calibri"/>
          <w:sz w:val="24"/>
          <w:szCs w:val="24"/>
          <w:lang w:val="fr-FR"/>
        </w:rPr>
        <w:t xml:space="preserve"> </w:t>
      </w:r>
    </w:p>
    <w:p w:rsidR="0017483C" w:rsidRDefault="0017483C" w:rsidP="0017483C">
      <w:pPr>
        <w:autoSpaceDE w:val="0"/>
        <w:autoSpaceDN w:val="0"/>
        <w:adjustRightInd w:val="0"/>
        <w:spacing w:after="0" w:line="276" w:lineRule="auto"/>
        <w:jc w:val="both"/>
        <w:rPr>
          <w:rFonts w:ascii="Calibri" w:hAnsi="Calibri" w:cs="Calibri"/>
          <w:sz w:val="24"/>
          <w:szCs w:val="24"/>
          <w:lang w:val="fr-FR"/>
        </w:rPr>
      </w:pPr>
    </w:p>
    <w:p w:rsidR="0017483C" w:rsidRPr="000D5D26" w:rsidRDefault="0017483C" w:rsidP="0017483C">
      <w:pPr>
        <w:autoSpaceDE w:val="0"/>
        <w:autoSpaceDN w:val="0"/>
        <w:adjustRightInd w:val="0"/>
        <w:spacing w:after="0" w:line="276" w:lineRule="auto"/>
        <w:jc w:val="both"/>
        <w:rPr>
          <w:rFonts w:ascii="Calibri" w:hAnsi="Calibri" w:cs="Calibri"/>
          <w:b/>
          <w:bCs/>
          <w:sz w:val="24"/>
          <w:szCs w:val="24"/>
          <w:lang w:val="fr-FR"/>
        </w:rPr>
      </w:pPr>
      <w:r w:rsidRPr="000D5D26">
        <w:rPr>
          <w:rFonts w:ascii="Calibri" w:hAnsi="Calibri" w:cs="Calibri"/>
          <w:b/>
          <w:bCs/>
          <w:sz w:val="24"/>
          <w:szCs w:val="24"/>
          <w:lang w:val="fr-FR"/>
        </w:rPr>
        <w:t>Résultats attendus</w:t>
      </w:r>
    </w:p>
    <w:p w:rsidR="006B5E30" w:rsidRPr="000D5D26" w:rsidRDefault="006B5E30" w:rsidP="000D5D26">
      <w:pPr>
        <w:pStyle w:val="ListParagraph"/>
        <w:numPr>
          <w:ilvl w:val="0"/>
          <w:numId w:val="4"/>
        </w:numPr>
        <w:autoSpaceDE w:val="0"/>
        <w:autoSpaceDN w:val="0"/>
        <w:adjustRightInd w:val="0"/>
        <w:spacing w:after="0" w:line="276" w:lineRule="auto"/>
        <w:jc w:val="both"/>
        <w:rPr>
          <w:rFonts w:ascii="Calibri" w:hAnsi="Calibri" w:cs="Calibri"/>
          <w:sz w:val="24"/>
          <w:szCs w:val="24"/>
          <w:lang w:val="fr-FR"/>
        </w:rPr>
      </w:pPr>
      <w:r w:rsidRPr="000D5D26">
        <w:rPr>
          <w:rFonts w:ascii="Calibri" w:hAnsi="Calibri" w:cs="Calibri"/>
          <w:sz w:val="24"/>
          <w:szCs w:val="24"/>
          <w:lang w:val="fr-FR"/>
        </w:rPr>
        <w:t>La formation sera développée pour atteindre les résultats ci-après :</w:t>
      </w:r>
    </w:p>
    <w:p w:rsidR="006B5E30" w:rsidRPr="000D5D26" w:rsidRDefault="006B5E30" w:rsidP="000D5D26">
      <w:pPr>
        <w:pStyle w:val="ListParagraph"/>
        <w:numPr>
          <w:ilvl w:val="0"/>
          <w:numId w:val="4"/>
        </w:numPr>
        <w:autoSpaceDE w:val="0"/>
        <w:autoSpaceDN w:val="0"/>
        <w:adjustRightInd w:val="0"/>
        <w:spacing w:after="0" w:line="276" w:lineRule="auto"/>
        <w:jc w:val="both"/>
        <w:rPr>
          <w:rFonts w:ascii="Calibri" w:hAnsi="Calibri" w:cs="Calibri"/>
          <w:sz w:val="24"/>
          <w:szCs w:val="24"/>
          <w:lang w:val="fr-FR"/>
        </w:rPr>
      </w:pPr>
      <w:r w:rsidRPr="000D5D26">
        <w:rPr>
          <w:rFonts w:ascii="Calibri" w:hAnsi="Calibri" w:cs="Calibri"/>
          <w:sz w:val="24"/>
          <w:szCs w:val="24"/>
          <w:lang w:val="fr-FR"/>
        </w:rPr>
        <w:t xml:space="preserve">Les connaissances </w:t>
      </w:r>
      <w:bookmarkStart w:id="3" w:name="_Hlk15652425"/>
      <w:r w:rsidRPr="000D5D26">
        <w:rPr>
          <w:rFonts w:ascii="Calibri" w:hAnsi="Calibri" w:cs="Calibri"/>
          <w:sz w:val="24"/>
          <w:szCs w:val="24"/>
          <w:lang w:val="fr-FR"/>
        </w:rPr>
        <w:t xml:space="preserve">des prestataires de soins du programme VIH </w:t>
      </w:r>
      <w:bookmarkEnd w:id="3"/>
      <w:r w:rsidRPr="000D5D26">
        <w:rPr>
          <w:rFonts w:ascii="Calibri" w:hAnsi="Calibri" w:cs="Calibri"/>
          <w:sz w:val="24"/>
          <w:szCs w:val="24"/>
          <w:lang w:val="fr-FR"/>
        </w:rPr>
        <w:t xml:space="preserve">sur les techniques/compétences pratiques, </w:t>
      </w:r>
      <w:r w:rsidR="000D5D26" w:rsidRPr="000D5D26">
        <w:rPr>
          <w:rFonts w:ascii="Calibri" w:hAnsi="Calibri" w:cs="Calibri"/>
          <w:sz w:val="24"/>
          <w:szCs w:val="24"/>
          <w:lang w:val="fr-FR"/>
        </w:rPr>
        <w:t xml:space="preserve">les démarches éducatives </w:t>
      </w:r>
      <w:r w:rsidRPr="000D5D26">
        <w:rPr>
          <w:rFonts w:ascii="Calibri" w:hAnsi="Calibri" w:cs="Calibri"/>
          <w:sz w:val="24"/>
          <w:szCs w:val="24"/>
          <w:lang w:val="fr-FR"/>
        </w:rPr>
        <w:t>et les principes éthiques sur l’APS et l’ETP sont renforcées ;</w:t>
      </w:r>
    </w:p>
    <w:p w:rsidR="006B5E30" w:rsidRDefault="006B5E30" w:rsidP="000D5D26">
      <w:pPr>
        <w:pStyle w:val="ListParagraph"/>
        <w:numPr>
          <w:ilvl w:val="0"/>
          <w:numId w:val="4"/>
        </w:numPr>
        <w:autoSpaceDE w:val="0"/>
        <w:autoSpaceDN w:val="0"/>
        <w:adjustRightInd w:val="0"/>
        <w:spacing w:after="0" w:line="276" w:lineRule="auto"/>
        <w:jc w:val="both"/>
        <w:rPr>
          <w:rFonts w:ascii="Calibri" w:hAnsi="Calibri" w:cs="Calibri"/>
          <w:sz w:val="24"/>
          <w:szCs w:val="24"/>
          <w:lang w:val="fr-FR"/>
        </w:rPr>
      </w:pPr>
      <w:r w:rsidRPr="000D5D26">
        <w:rPr>
          <w:rFonts w:ascii="Calibri" w:hAnsi="Calibri" w:cs="Calibri"/>
          <w:sz w:val="24"/>
          <w:szCs w:val="24"/>
          <w:lang w:val="fr-FR"/>
        </w:rPr>
        <w:t>Les connaissances</w:t>
      </w:r>
      <w:r w:rsidRPr="000D5D26">
        <w:rPr>
          <w:lang w:val="fr-FR"/>
        </w:rPr>
        <w:t xml:space="preserve"> et compétences des prestataires de soins du programme VIH sur </w:t>
      </w:r>
      <w:r w:rsidRPr="000D5D26">
        <w:rPr>
          <w:rFonts w:ascii="Calibri" w:hAnsi="Calibri" w:cs="Calibri"/>
          <w:sz w:val="24"/>
          <w:szCs w:val="24"/>
          <w:lang w:val="fr-FR"/>
        </w:rPr>
        <w:t xml:space="preserve">les outils et stratégies pratiques capables d’améliorer la relation d’aide </w:t>
      </w:r>
      <w:r w:rsidR="000D5D26" w:rsidRPr="000D5D26">
        <w:rPr>
          <w:rFonts w:ascii="Calibri" w:hAnsi="Calibri" w:cs="Calibri"/>
          <w:sz w:val="24"/>
          <w:szCs w:val="24"/>
          <w:lang w:val="fr-FR"/>
        </w:rPr>
        <w:t xml:space="preserve">selon le référentiel défini par le PNLS. </w:t>
      </w:r>
      <w:r w:rsidRPr="000D5D26">
        <w:rPr>
          <w:rFonts w:ascii="Calibri" w:hAnsi="Calibri" w:cs="Calibri"/>
          <w:sz w:val="24"/>
          <w:szCs w:val="24"/>
          <w:lang w:val="fr-FR"/>
        </w:rPr>
        <w:t xml:space="preserve"> </w:t>
      </w:r>
    </w:p>
    <w:p w:rsidR="00BA6CF9" w:rsidRPr="005968AE" w:rsidRDefault="00BA6CF9" w:rsidP="00BA6CF9">
      <w:pPr>
        <w:spacing w:after="120" w:line="240" w:lineRule="auto"/>
        <w:ind w:left="720"/>
        <w:jc w:val="both"/>
        <w:rPr>
          <w:b/>
          <w:lang w:val="fr-FR"/>
        </w:rPr>
      </w:pPr>
    </w:p>
    <w:p w:rsidR="00C078F0" w:rsidRPr="00A60ECB" w:rsidRDefault="00C078F0" w:rsidP="00C078F0">
      <w:pPr>
        <w:numPr>
          <w:ilvl w:val="0"/>
          <w:numId w:val="5"/>
        </w:numPr>
        <w:spacing w:after="120" w:line="240" w:lineRule="auto"/>
        <w:jc w:val="both"/>
        <w:rPr>
          <w:b/>
        </w:rPr>
      </w:pPr>
      <w:proofErr w:type="spellStart"/>
      <w:r w:rsidRPr="00A60ECB">
        <w:rPr>
          <w:b/>
        </w:rPr>
        <w:t>Processus</w:t>
      </w:r>
      <w:proofErr w:type="spellEnd"/>
      <w:r w:rsidRPr="00A60ECB">
        <w:rPr>
          <w:b/>
        </w:rPr>
        <w:t xml:space="preserve"> de </w:t>
      </w:r>
      <w:proofErr w:type="spellStart"/>
      <w:r w:rsidRPr="00A60ECB">
        <w:rPr>
          <w:b/>
        </w:rPr>
        <w:t>recrutement</w:t>
      </w:r>
      <w:proofErr w:type="spellEnd"/>
      <w:r w:rsidRPr="00A60ECB">
        <w:rPr>
          <w:b/>
        </w:rPr>
        <w:t xml:space="preserve"> </w:t>
      </w:r>
    </w:p>
    <w:p w:rsidR="00C078F0" w:rsidRPr="00C078F0" w:rsidRDefault="00C078F0" w:rsidP="00C078F0">
      <w:pPr>
        <w:spacing w:after="120"/>
        <w:jc w:val="both"/>
        <w:rPr>
          <w:lang w:val="fr-FR"/>
        </w:rPr>
      </w:pPr>
      <w:r w:rsidRPr="00C078F0">
        <w:rPr>
          <w:lang w:val="fr-FR"/>
        </w:rPr>
        <w:t xml:space="preserve">Le choix sera fait par un comité de 5 membres (PNLS, </w:t>
      </w:r>
      <w:r w:rsidR="00BA6CF9">
        <w:rPr>
          <w:lang w:val="fr-FR"/>
        </w:rPr>
        <w:t>UGP/PEPFAR</w:t>
      </w:r>
      <w:r w:rsidRPr="00C078F0">
        <w:rPr>
          <w:lang w:val="fr-FR"/>
        </w:rPr>
        <w:t xml:space="preserve"> et </w:t>
      </w:r>
      <w:r w:rsidR="00BA6CF9">
        <w:rPr>
          <w:lang w:val="fr-FR"/>
        </w:rPr>
        <w:t>UCMIT</w:t>
      </w:r>
      <w:r w:rsidRPr="00C078F0">
        <w:rPr>
          <w:lang w:val="fr-FR"/>
        </w:rPr>
        <w:t>) en respectant les critères énumérés dans le profil recherché selon la démarche qui suit.</w:t>
      </w:r>
    </w:p>
    <w:p w:rsidR="00C078F0" w:rsidRPr="00C078F0" w:rsidRDefault="00C078F0" w:rsidP="00C078F0">
      <w:pPr>
        <w:spacing w:after="120"/>
        <w:jc w:val="both"/>
        <w:rPr>
          <w:rFonts w:eastAsia="Calibri"/>
          <w:lang w:val="fr-FR"/>
        </w:rPr>
      </w:pPr>
      <w:r w:rsidRPr="00C078F0">
        <w:rPr>
          <w:rFonts w:eastAsia="Calibri"/>
          <w:lang w:val="fr-FR"/>
        </w:rPr>
        <w:lastRenderedPageBreak/>
        <w:t xml:space="preserve">Une évaluation préliminaire des offres aura lieu avant qu’une </w:t>
      </w:r>
      <w:r w:rsidRPr="00C078F0">
        <w:rPr>
          <w:lang w:val="fr-FR"/>
        </w:rPr>
        <w:t>comparaison</w:t>
      </w:r>
      <w:r w:rsidRPr="00C078F0">
        <w:rPr>
          <w:rFonts w:eastAsia="Calibri"/>
          <w:lang w:val="fr-FR"/>
        </w:rPr>
        <w:t xml:space="preserve"> technique et financière ne soit considérée. Seules les propositions techniques et financières des  professionnels, dont l’examen préliminaire satisfait aux exigences du dossier joint au tableau ci-dessous, seront considérées (méthode conforme/non conforme).</w:t>
      </w:r>
    </w:p>
    <w:p w:rsidR="00C078F0" w:rsidRPr="00577334" w:rsidRDefault="00C078F0" w:rsidP="00C078F0">
      <w:pPr>
        <w:autoSpaceDE w:val="0"/>
        <w:autoSpaceDN w:val="0"/>
        <w:adjustRightInd w:val="0"/>
        <w:spacing w:after="120"/>
        <w:jc w:val="both"/>
        <w:rPr>
          <w:rFonts w:ascii="Calibri" w:eastAsia="Calibri" w:hAnsi="Calibri" w:cs="Cambria"/>
          <w:b/>
        </w:rPr>
      </w:pPr>
      <w:r w:rsidRPr="00577334">
        <w:rPr>
          <w:rFonts w:ascii="Calibri" w:eastAsia="Calibri" w:hAnsi="Calibri" w:cs="Cambria"/>
          <w:b/>
        </w:rPr>
        <w:t xml:space="preserve">Tableau </w:t>
      </w:r>
      <w:proofErr w:type="spellStart"/>
      <w:r w:rsidRPr="00577334">
        <w:rPr>
          <w:rFonts w:ascii="Calibri" w:eastAsia="Calibri" w:hAnsi="Calibri" w:cs="Cambria"/>
          <w:b/>
        </w:rPr>
        <w:t>d’évaluation</w:t>
      </w:r>
      <w:proofErr w:type="spellEnd"/>
      <w:r w:rsidRPr="00577334">
        <w:rPr>
          <w:rFonts w:ascii="Calibri" w:eastAsia="Calibri" w:hAnsi="Calibri" w:cs="Cambria"/>
          <w:b/>
        </w:rPr>
        <w:t xml:space="preserve"> </w:t>
      </w:r>
      <w:proofErr w:type="spellStart"/>
      <w:r w:rsidRPr="00577334">
        <w:rPr>
          <w:rFonts w:ascii="Calibri" w:eastAsia="Calibri" w:hAnsi="Calibri" w:cs="Cambria"/>
          <w:b/>
        </w:rPr>
        <w:t>primaire</w:t>
      </w:r>
      <w:proofErr w:type="spellEnd"/>
      <w:r w:rsidRPr="00577334">
        <w:rPr>
          <w:rFonts w:ascii="Calibri" w:eastAsia="Calibri" w:hAnsi="Calibri" w:cs="Cambria"/>
          <w:b/>
        </w:rPr>
        <w:t xml:space="preserve"> </w:t>
      </w:r>
    </w:p>
    <w:tbl>
      <w:tblPr>
        <w:tblW w:w="8655" w:type="dxa"/>
        <w:tblInd w:w="93" w:type="dxa"/>
        <w:tblLook w:val="04A0"/>
      </w:tblPr>
      <w:tblGrid>
        <w:gridCol w:w="504"/>
        <w:gridCol w:w="5137"/>
        <w:gridCol w:w="1220"/>
        <w:gridCol w:w="1794"/>
      </w:tblGrid>
      <w:tr w:rsidR="00C078F0" w:rsidRPr="007D69D6" w:rsidTr="009E6387">
        <w:trPr>
          <w:trHeight w:val="420"/>
        </w:trPr>
        <w:tc>
          <w:tcPr>
            <w:tcW w:w="504" w:type="dxa"/>
            <w:tcBorders>
              <w:top w:val="nil"/>
              <w:left w:val="nil"/>
              <w:bottom w:val="nil"/>
              <w:right w:val="nil"/>
            </w:tcBorders>
            <w:shd w:val="clear" w:color="auto" w:fill="auto"/>
            <w:hideMark/>
          </w:tcPr>
          <w:p w:rsidR="00C078F0" w:rsidRPr="007D69D6" w:rsidRDefault="00C078F0" w:rsidP="009E6387">
            <w:pPr>
              <w:rPr>
                <w:color w:val="000000"/>
              </w:rPr>
            </w:pPr>
          </w:p>
        </w:tc>
        <w:tc>
          <w:tcPr>
            <w:tcW w:w="5137" w:type="dxa"/>
            <w:tcBorders>
              <w:top w:val="nil"/>
              <w:left w:val="nil"/>
              <w:bottom w:val="nil"/>
              <w:right w:val="nil"/>
            </w:tcBorders>
            <w:shd w:val="clear" w:color="auto" w:fill="auto"/>
            <w:hideMark/>
          </w:tcPr>
          <w:p w:rsidR="00C078F0" w:rsidRPr="007D69D6" w:rsidRDefault="00C078F0" w:rsidP="009E6387">
            <w:pPr>
              <w:rPr>
                <w:color w:val="000000"/>
              </w:rPr>
            </w:pPr>
          </w:p>
        </w:tc>
        <w:tc>
          <w:tcPr>
            <w:tcW w:w="3014"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078F0" w:rsidRPr="007D69D6" w:rsidRDefault="00C078F0" w:rsidP="009E6387">
            <w:pPr>
              <w:jc w:val="center"/>
              <w:rPr>
                <w:b/>
                <w:color w:val="000000"/>
              </w:rPr>
            </w:pPr>
            <w:proofErr w:type="spellStart"/>
            <w:r w:rsidRPr="007D69D6">
              <w:rPr>
                <w:b/>
                <w:color w:val="000000"/>
              </w:rPr>
              <w:t>Méthode</w:t>
            </w:r>
            <w:proofErr w:type="spellEnd"/>
            <w:r w:rsidRPr="007D69D6">
              <w:rPr>
                <w:b/>
                <w:color w:val="000000"/>
              </w:rPr>
              <w:t xml:space="preserve"> </w:t>
            </w:r>
            <w:proofErr w:type="spellStart"/>
            <w:r w:rsidRPr="007D69D6">
              <w:rPr>
                <w:b/>
                <w:color w:val="000000"/>
              </w:rPr>
              <w:t>d’évaluation</w:t>
            </w:r>
            <w:proofErr w:type="spellEnd"/>
          </w:p>
        </w:tc>
      </w:tr>
      <w:tr w:rsidR="00C078F0" w:rsidRPr="007D69D6" w:rsidTr="009E6387">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rsidR="00C078F0" w:rsidRPr="007D69D6" w:rsidRDefault="00C078F0" w:rsidP="009E6387">
            <w:pPr>
              <w:rPr>
                <w:b/>
                <w:color w:val="000000"/>
              </w:rPr>
            </w:pPr>
            <w:r w:rsidRPr="007D69D6">
              <w:rPr>
                <w:b/>
                <w:color w:val="000000"/>
              </w:rPr>
              <w:t>No</w:t>
            </w:r>
          </w:p>
        </w:tc>
        <w:tc>
          <w:tcPr>
            <w:tcW w:w="5137" w:type="dxa"/>
            <w:tcBorders>
              <w:top w:val="single" w:sz="8" w:space="0" w:color="auto"/>
              <w:left w:val="nil"/>
              <w:bottom w:val="single" w:sz="8" w:space="0" w:color="auto"/>
              <w:right w:val="single" w:sz="4" w:space="0" w:color="auto"/>
            </w:tcBorders>
            <w:shd w:val="clear" w:color="auto" w:fill="auto"/>
            <w:hideMark/>
          </w:tcPr>
          <w:p w:rsidR="00C078F0" w:rsidRPr="007D69D6" w:rsidRDefault="00C078F0" w:rsidP="009E6387">
            <w:pPr>
              <w:rPr>
                <w:b/>
                <w:color w:val="000000"/>
              </w:rPr>
            </w:pPr>
            <w:proofErr w:type="spellStart"/>
            <w:r w:rsidRPr="007D69D6">
              <w:rPr>
                <w:b/>
                <w:color w:val="000000"/>
              </w:rPr>
              <w:t>Critères</w:t>
            </w:r>
            <w:proofErr w:type="spellEnd"/>
            <w:r w:rsidRPr="007D69D6">
              <w:rPr>
                <w:b/>
                <w:color w:val="000000"/>
              </w:rPr>
              <w:t xml:space="preserve"> </w:t>
            </w:r>
            <w:proofErr w:type="spellStart"/>
            <w:r w:rsidRPr="007D69D6">
              <w:rPr>
                <w:b/>
                <w:color w:val="000000"/>
              </w:rPr>
              <w:t>préliminaires</w:t>
            </w:r>
            <w:proofErr w:type="spellEnd"/>
            <w:r w:rsidRPr="007D69D6">
              <w:rPr>
                <w:b/>
                <w:color w:val="000000"/>
              </w:rPr>
              <w:t xml:space="preserve"> </w:t>
            </w:r>
          </w:p>
        </w:tc>
        <w:tc>
          <w:tcPr>
            <w:tcW w:w="1220" w:type="dxa"/>
            <w:tcBorders>
              <w:top w:val="nil"/>
              <w:left w:val="nil"/>
              <w:bottom w:val="single" w:sz="8" w:space="0" w:color="auto"/>
              <w:right w:val="single" w:sz="4" w:space="0" w:color="auto"/>
            </w:tcBorders>
            <w:shd w:val="clear" w:color="auto" w:fill="auto"/>
            <w:hideMark/>
          </w:tcPr>
          <w:p w:rsidR="00C078F0" w:rsidRPr="007D69D6" w:rsidRDefault="00C078F0" w:rsidP="009E6387">
            <w:pPr>
              <w:rPr>
                <w:b/>
                <w:color w:val="000000"/>
              </w:rPr>
            </w:pPr>
            <w:proofErr w:type="spellStart"/>
            <w:r w:rsidRPr="007D69D6">
              <w:rPr>
                <w:b/>
                <w:color w:val="000000"/>
              </w:rPr>
              <w:t>Conforme</w:t>
            </w:r>
            <w:proofErr w:type="spellEnd"/>
            <w:r w:rsidRPr="007D69D6">
              <w:rPr>
                <w:b/>
                <w:color w:val="000000"/>
              </w:rPr>
              <w:t xml:space="preserve"> </w:t>
            </w:r>
          </w:p>
        </w:tc>
        <w:tc>
          <w:tcPr>
            <w:tcW w:w="1794" w:type="dxa"/>
            <w:tcBorders>
              <w:top w:val="nil"/>
              <w:left w:val="nil"/>
              <w:bottom w:val="single" w:sz="8" w:space="0" w:color="auto"/>
              <w:right w:val="single" w:sz="8" w:space="0" w:color="auto"/>
            </w:tcBorders>
            <w:shd w:val="clear" w:color="auto" w:fill="auto"/>
            <w:hideMark/>
          </w:tcPr>
          <w:p w:rsidR="00C078F0" w:rsidRPr="007D69D6" w:rsidRDefault="00C078F0" w:rsidP="009E6387">
            <w:pPr>
              <w:rPr>
                <w:b/>
                <w:color w:val="000000"/>
              </w:rPr>
            </w:pPr>
            <w:r w:rsidRPr="007D69D6">
              <w:rPr>
                <w:b/>
                <w:color w:val="000000"/>
              </w:rPr>
              <w:t xml:space="preserve">Non </w:t>
            </w:r>
            <w:proofErr w:type="spellStart"/>
            <w:r w:rsidRPr="007D69D6">
              <w:rPr>
                <w:b/>
                <w:color w:val="000000"/>
              </w:rPr>
              <w:t>Conforme</w:t>
            </w:r>
            <w:proofErr w:type="spellEnd"/>
          </w:p>
        </w:tc>
      </w:tr>
      <w:tr w:rsidR="00C078F0" w:rsidRPr="00640929" w:rsidTr="009E6387">
        <w:trPr>
          <w:trHeight w:val="945"/>
        </w:trPr>
        <w:tc>
          <w:tcPr>
            <w:tcW w:w="504" w:type="dxa"/>
            <w:tcBorders>
              <w:top w:val="nil"/>
              <w:left w:val="single" w:sz="8" w:space="0" w:color="auto"/>
              <w:bottom w:val="single" w:sz="4" w:space="0" w:color="auto"/>
              <w:right w:val="single" w:sz="4" w:space="0" w:color="auto"/>
            </w:tcBorders>
            <w:shd w:val="clear" w:color="auto" w:fill="auto"/>
            <w:hideMark/>
          </w:tcPr>
          <w:p w:rsidR="00C078F0" w:rsidRPr="007D69D6" w:rsidRDefault="00C078F0" w:rsidP="009E6387">
            <w:pPr>
              <w:jc w:val="center"/>
              <w:rPr>
                <w:color w:val="000000"/>
              </w:rPr>
            </w:pPr>
            <w:r w:rsidRPr="007D69D6">
              <w:rPr>
                <w:color w:val="000000"/>
              </w:rPr>
              <w:t>1</w:t>
            </w:r>
          </w:p>
        </w:tc>
        <w:tc>
          <w:tcPr>
            <w:tcW w:w="5137" w:type="dxa"/>
            <w:tcBorders>
              <w:top w:val="nil"/>
              <w:left w:val="nil"/>
              <w:bottom w:val="single" w:sz="4" w:space="0" w:color="auto"/>
              <w:right w:val="single" w:sz="4" w:space="0" w:color="auto"/>
            </w:tcBorders>
            <w:shd w:val="clear" w:color="auto" w:fill="auto"/>
            <w:hideMark/>
          </w:tcPr>
          <w:p w:rsidR="00C078F0" w:rsidRPr="00C078F0" w:rsidRDefault="00C078F0" w:rsidP="009E6387">
            <w:pPr>
              <w:rPr>
                <w:color w:val="000000"/>
                <w:lang w:val="fr-FR"/>
              </w:rPr>
            </w:pPr>
            <w:r w:rsidRPr="00C078F0">
              <w:rPr>
                <w:color w:val="000000"/>
                <w:lang w:val="fr-FR"/>
              </w:rPr>
              <w:t>Lettre d'intention du professionnel spécifiant le domaine d'expertise et la compréhension du mandat</w:t>
            </w:r>
          </w:p>
        </w:tc>
        <w:tc>
          <w:tcPr>
            <w:tcW w:w="1220" w:type="dxa"/>
            <w:tcBorders>
              <w:top w:val="nil"/>
              <w:left w:val="nil"/>
              <w:bottom w:val="single" w:sz="4" w:space="0" w:color="auto"/>
              <w:right w:val="single" w:sz="4" w:space="0" w:color="auto"/>
            </w:tcBorders>
            <w:shd w:val="clear" w:color="auto" w:fill="auto"/>
            <w:hideMark/>
          </w:tcPr>
          <w:p w:rsidR="00C078F0" w:rsidRPr="00C078F0" w:rsidRDefault="00C078F0" w:rsidP="009E6387">
            <w:pPr>
              <w:rPr>
                <w:color w:val="000000"/>
                <w:lang w:val="fr-FR"/>
              </w:rPr>
            </w:pPr>
            <w:r w:rsidRPr="00C078F0">
              <w:rPr>
                <w:color w:val="000000"/>
                <w:lang w:val="fr-FR"/>
              </w:rPr>
              <w:t> </w:t>
            </w:r>
          </w:p>
        </w:tc>
        <w:tc>
          <w:tcPr>
            <w:tcW w:w="1794" w:type="dxa"/>
            <w:tcBorders>
              <w:top w:val="nil"/>
              <w:left w:val="nil"/>
              <w:bottom w:val="single" w:sz="4" w:space="0" w:color="auto"/>
              <w:right w:val="single" w:sz="8" w:space="0" w:color="auto"/>
            </w:tcBorders>
            <w:shd w:val="clear" w:color="auto" w:fill="auto"/>
            <w:hideMark/>
          </w:tcPr>
          <w:p w:rsidR="00C078F0" w:rsidRPr="00C078F0" w:rsidRDefault="00C078F0" w:rsidP="009E6387">
            <w:pPr>
              <w:rPr>
                <w:color w:val="000000"/>
                <w:lang w:val="fr-FR"/>
              </w:rPr>
            </w:pPr>
            <w:r w:rsidRPr="00C078F0">
              <w:rPr>
                <w:color w:val="000000"/>
                <w:lang w:val="fr-FR"/>
              </w:rPr>
              <w:t> </w:t>
            </w:r>
          </w:p>
        </w:tc>
      </w:tr>
      <w:tr w:rsidR="00C078F0" w:rsidRPr="00640929" w:rsidTr="009E6387">
        <w:trPr>
          <w:trHeight w:val="330"/>
        </w:trPr>
        <w:tc>
          <w:tcPr>
            <w:tcW w:w="504" w:type="dxa"/>
            <w:tcBorders>
              <w:top w:val="nil"/>
              <w:left w:val="single" w:sz="8" w:space="0" w:color="auto"/>
              <w:bottom w:val="single" w:sz="4" w:space="0" w:color="auto"/>
              <w:right w:val="single" w:sz="4" w:space="0" w:color="auto"/>
            </w:tcBorders>
            <w:shd w:val="clear" w:color="auto" w:fill="auto"/>
            <w:hideMark/>
          </w:tcPr>
          <w:p w:rsidR="00C078F0" w:rsidRPr="007D69D6" w:rsidRDefault="00C078F0" w:rsidP="009E6387">
            <w:pPr>
              <w:jc w:val="center"/>
              <w:rPr>
                <w:color w:val="000000"/>
              </w:rPr>
            </w:pPr>
            <w:r w:rsidRPr="007D69D6">
              <w:rPr>
                <w:color w:val="000000"/>
              </w:rPr>
              <w:t>2</w:t>
            </w:r>
          </w:p>
        </w:tc>
        <w:tc>
          <w:tcPr>
            <w:tcW w:w="5137" w:type="dxa"/>
            <w:tcBorders>
              <w:top w:val="nil"/>
              <w:left w:val="nil"/>
              <w:bottom w:val="single" w:sz="4" w:space="0" w:color="auto"/>
              <w:right w:val="single" w:sz="4" w:space="0" w:color="auto"/>
            </w:tcBorders>
            <w:shd w:val="clear" w:color="auto" w:fill="auto"/>
            <w:hideMark/>
          </w:tcPr>
          <w:p w:rsidR="00C078F0" w:rsidRPr="00C078F0" w:rsidRDefault="00C078F0" w:rsidP="009E6387">
            <w:pPr>
              <w:rPr>
                <w:color w:val="000000"/>
                <w:lang w:val="fr-FR"/>
              </w:rPr>
            </w:pPr>
            <w:r w:rsidRPr="00C078F0">
              <w:rPr>
                <w:color w:val="000000"/>
                <w:lang w:val="fr-FR"/>
              </w:rPr>
              <w:t xml:space="preserve">CV  du professionnel consultant et copies de diplômes et de certificats </w:t>
            </w:r>
          </w:p>
        </w:tc>
        <w:tc>
          <w:tcPr>
            <w:tcW w:w="1220" w:type="dxa"/>
            <w:tcBorders>
              <w:top w:val="nil"/>
              <w:left w:val="nil"/>
              <w:bottom w:val="single" w:sz="4" w:space="0" w:color="auto"/>
              <w:right w:val="single" w:sz="4" w:space="0" w:color="auto"/>
            </w:tcBorders>
            <w:shd w:val="clear" w:color="auto" w:fill="auto"/>
            <w:hideMark/>
          </w:tcPr>
          <w:p w:rsidR="00C078F0" w:rsidRPr="00C078F0" w:rsidRDefault="00C078F0" w:rsidP="009E6387">
            <w:pPr>
              <w:rPr>
                <w:color w:val="000000"/>
                <w:lang w:val="fr-FR"/>
              </w:rPr>
            </w:pPr>
            <w:r w:rsidRPr="00C078F0">
              <w:rPr>
                <w:color w:val="000000"/>
                <w:lang w:val="fr-FR"/>
              </w:rPr>
              <w:t> </w:t>
            </w:r>
          </w:p>
        </w:tc>
        <w:tc>
          <w:tcPr>
            <w:tcW w:w="1794" w:type="dxa"/>
            <w:tcBorders>
              <w:top w:val="nil"/>
              <w:left w:val="nil"/>
              <w:bottom w:val="single" w:sz="4" w:space="0" w:color="auto"/>
              <w:right w:val="single" w:sz="8" w:space="0" w:color="auto"/>
            </w:tcBorders>
            <w:shd w:val="clear" w:color="auto" w:fill="auto"/>
            <w:hideMark/>
          </w:tcPr>
          <w:p w:rsidR="00C078F0" w:rsidRPr="00C078F0" w:rsidRDefault="00C078F0" w:rsidP="009E6387">
            <w:pPr>
              <w:rPr>
                <w:color w:val="000000"/>
                <w:lang w:val="fr-FR"/>
              </w:rPr>
            </w:pPr>
            <w:r w:rsidRPr="00C078F0">
              <w:rPr>
                <w:color w:val="000000"/>
                <w:lang w:val="fr-FR"/>
              </w:rPr>
              <w:t> </w:t>
            </w:r>
          </w:p>
        </w:tc>
      </w:tr>
      <w:tr w:rsidR="00C078F0" w:rsidRPr="007D69D6" w:rsidTr="009E6387">
        <w:trPr>
          <w:trHeight w:val="315"/>
        </w:trPr>
        <w:tc>
          <w:tcPr>
            <w:tcW w:w="504" w:type="dxa"/>
            <w:tcBorders>
              <w:top w:val="nil"/>
              <w:left w:val="single" w:sz="8" w:space="0" w:color="auto"/>
              <w:bottom w:val="single" w:sz="4" w:space="0" w:color="auto"/>
              <w:right w:val="single" w:sz="4" w:space="0" w:color="auto"/>
            </w:tcBorders>
            <w:shd w:val="clear" w:color="auto" w:fill="auto"/>
            <w:hideMark/>
          </w:tcPr>
          <w:p w:rsidR="00C078F0" w:rsidRPr="007D69D6" w:rsidRDefault="00C078F0" w:rsidP="009E6387">
            <w:pPr>
              <w:jc w:val="center"/>
              <w:rPr>
                <w:color w:val="000000"/>
              </w:rPr>
            </w:pPr>
            <w:r w:rsidRPr="007D69D6">
              <w:rPr>
                <w:color w:val="000000"/>
              </w:rPr>
              <w:t>3</w:t>
            </w:r>
          </w:p>
        </w:tc>
        <w:tc>
          <w:tcPr>
            <w:tcW w:w="5137" w:type="dxa"/>
            <w:tcBorders>
              <w:top w:val="nil"/>
              <w:left w:val="nil"/>
              <w:bottom w:val="single" w:sz="4" w:space="0" w:color="auto"/>
              <w:right w:val="single" w:sz="4" w:space="0" w:color="auto"/>
            </w:tcBorders>
            <w:shd w:val="clear" w:color="auto" w:fill="auto"/>
            <w:hideMark/>
          </w:tcPr>
          <w:p w:rsidR="00C078F0" w:rsidRPr="007D69D6" w:rsidRDefault="00C078F0" w:rsidP="009E6387">
            <w:pPr>
              <w:rPr>
                <w:color w:val="000000"/>
              </w:rPr>
            </w:pPr>
            <w:r w:rsidRPr="007D69D6">
              <w:rPr>
                <w:color w:val="000000"/>
              </w:rPr>
              <w:t xml:space="preserve">Proposition technique </w:t>
            </w:r>
          </w:p>
        </w:tc>
        <w:tc>
          <w:tcPr>
            <w:tcW w:w="1220" w:type="dxa"/>
            <w:tcBorders>
              <w:top w:val="nil"/>
              <w:left w:val="nil"/>
              <w:bottom w:val="single" w:sz="4" w:space="0" w:color="auto"/>
              <w:right w:val="single" w:sz="4" w:space="0" w:color="auto"/>
            </w:tcBorders>
            <w:shd w:val="clear" w:color="auto" w:fill="auto"/>
            <w:hideMark/>
          </w:tcPr>
          <w:p w:rsidR="00C078F0" w:rsidRPr="007D69D6" w:rsidRDefault="00C078F0" w:rsidP="009E6387">
            <w:pPr>
              <w:rPr>
                <w:color w:val="000000"/>
              </w:rPr>
            </w:pPr>
            <w:r w:rsidRPr="007D69D6">
              <w:rPr>
                <w:color w:val="000000"/>
              </w:rPr>
              <w:t> </w:t>
            </w:r>
          </w:p>
        </w:tc>
        <w:tc>
          <w:tcPr>
            <w:tcW w:w="1794" w:type="dxa"/>
            <w:tcBorders>
              <w:top w:val="nil"/>
              <w:left w:val="nil"/>
              <w:bottom w:val="single" w:sz="4" w:space="0" w:color="auto"/>
              <w:right w:val="single" w:sz="8" w:space="0" w:color="auto"/>
            </w:tcBorders>
            <w:shd w:val="clear" w:color="auto" w:fill="auto"/>
            <w:hideMark/>
          </w:tcPr>
          <w:p w:rsidR="00C078F0" w:rsidRPr="007D69D6" w:rsidRDefault="00C078F0" w:rsidP="009E6387">
            <w:pPr>
              <w:rPr>
                <w:color w:val="000000"/>
              </w:rPr>
            </w:pPr>
            <w:r w:rsidRPr="007D69D6">
              <w:rPr>
                <w:color w:val="000000"/>
              </w:rPr>
              <w:t> </w:t>
            </w:r>
          </w:p>
        </w:tc>
      </w:tr>
      <w:tr w:rsidR="00C078F0" w:rsidRPr="007D69D6" w:rsidTr="009E6387">
        <w:trPr>
          <w:trHeight w:val="330"/>
        </w:trPr>
        <w:tc>
          <w:tcPr>
            <w:tcW w:w="504" w:type="dxa"/>
            <w:tcBorders>
              <w:top w:val="nil"/>
              <w:left w:val="single" w:sz="8" w:space="0" w:color="auto"/>
              <w:bottom w:val="single" w:sz="8" w:space="0" w:color="auto"/>
              <w:right w:val="single" w:sz="4" w:space="0" w:color="auto"/>
            </w:tcBorders>
            <w:shd w:val="clear" w:color="auto" w:fill="auto"/>
            <w:hideMark/>
          </w:tcPr>
          <w:p w:rsidR="00C078F0" w:rsidRPr="007D69D6" w:rsidRDefault="00C078F0" w:rsidP="009E6387">
            <w:pPr>
              <w:jc w:val="center"/>
              <w:rPr>
                <w:color w:val="000000"/>
              </w:rPr>
            </w:pPr>
            <w:r w:rsidRPr="007D69D6">
              <w:rPr>
                <w:color w:val="000000"/>
              </w:rPr>
              <w:t>4</w:t>
            </w:r>
          </w:p>
        </w:tc>
        <w:tc>
          <w:tcPr>
            <w:tcW w:w="5137" w:type="dxa"/>
            <w:tcBorders>
              <w:top w:val="nil"/>
              <w:left w:val="nil"/>
              <w:bottom w:val="single" w:sz="8" w:space="0" w:color="auto"/>
              <w:right w:val="single" w:sz="4" w:space="0" w:color="auto"/>
            </w:tcBorders>
            <w:shd w:val="clear" w:color="auto" w:fill="auto"/>
            <w:hideMark/>
          </w:tcPr>
          <w:p w:rsidR="00C078F0" w:rsidRPr="007D69D6" w:rsidRDefault="00C078F0" w:rsidP="009E6387">
            <w:pPr>
              <w:rPr>
                <w:color w:val="000000"/>
              </w:rPr>
            </w:pPr>
            <w:r w:rsidRPr="007D69D6">
              <w:rPr>
                <w:color w:val="000000"/>
              </w:rPr>
              <w:t xml:space="preserve">Proposition </w:t>
            </w:r>
            <w:proofErr w:type="spellStart"/>
            <w:r w:rsidRPr="007D69D6">
              <w:rPr>
                <w:color w:val="000000"/>
              </w:rPr>
              <w:t>financière</w:t>
            </w:r>
            <w:proofErr w:type="spellEnd"/>
          </w:p>
        </w:tc>
        <w:tc>
          <w:tcPr>
            <w:tcW w:w="1220" w:type="dxa"/>
            <w:tcBorders>
              <w:top w:val="nil"/>
              <w:left w:val="nil"/>
              <w:bottom w:val="single" w:sz="8" w:space="0" w:color="auto"/>
              <w:right w:val="single" w:sz="4" w:space="0" w:color="auto"/>
            </w:tcBorders>
            <w:shd w:val="clear" w:color="auto" w:fill="auto"/>
            <w:hideMark/>
          </w:tcPr>
          <w:p w:rsidR="00C078F0" w:rsidRPr="007D69D6" w:rsidRDefault="00C078F0" w:rsidP="009E6387">
            <w:pPr>
              <w:rPr>
                <w:color w:val="000000"/>
              </w:rPr>
            </w:pPr>
            <w:r w:rsidRPr="007D69D6">
              <w:rPr>
                <w:color w:val="000000"/>
              </w:rPr>
              <w:t> </w:t>
            </w:r>
          </w:p>
        </w:tc>
        <w:tc>
          <w:tcPr>
            <w:tcW w:w="1794" w:type="dxa"/>
            <w:tcBorders>
              <w:top w:val="nil"/>
              <w:left w:val="nil"/>
              <w:bottom w:val="single" w:sz="8" w:space="0" w:color="auto"/>
              <w:right w:val="single" w:sz="8" w:space="0" w:color="auto"/>
            </w:tcBorders>
            <w:shd w:val="clear" w:color="auto" w:fill="auto"/>
            <w:hideMark/>
          </w:tcPr>
          <w:p w:rsidR="00C078F0" w:rsidRPr="007D69D6" w:rsidRDefault="00C078F0" w:rsidP="009E6387">
            <w:pPr>
              <w:rPr>
                <w:color w:val="000000"/>
              </w:rPr>
            </w:pPr>
            <w:r w:rsidRPr="007D69D6">
              <w:rPr>
                <w:color w:val="000000"/>
              </w:rPr>
              <w:t> </w:t>
            </w:r>
          </w:p>
        </w:tc>
      </w:tr>
      <w:tr w:rsidR="00C078F0" w:rsidRPr="007D69D6" w:rsidTr="009E6387">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rsidR="00C078F0" w:rsidRPr="007D69D6" w:rsidRDefault="00C078F0" w:rsidP="009E6387">
            <w:pPr>
              <w:jc w:val="center"/>
              <w:rPr>
                <w:color w:val="000000"/>
              </w:rPr>
            </w:pPr>
            <w:r w:rsidRPr="007D69D6">
              <w:rPr>
                <w:color w:val="000000"/>
              </w:rPr>
              <w:t xml:space="preserve">Observation </w:t>
            </w:r>
            <w:proofErr w:type="spellStart"/>
            <w:r w:rsidRPr="007D69D6">
              <w:rPr>
                <w:color w:val="000000"/>
              </w:rPr>
              <w:t>globale</w:t>
            </w:r>
            <w:proofErr w:type="spellEnd"/>
          </w:p>
        </w:tc>
        <w:tc>
          <w:tcPr>
            <w:tcW w:w="3014" w:type="dxa"/>
            <w:gridSpan w:val="2"/>
            <w:tcBorders>
              <w:top w:val="single" w:sz="8" w:space="0" w:color="auto"/>
              <w:left w:val="nil"/>
              <w:bottom w:val="single" w:sz="8" w:space="0" w:color="auto"/>
              <w:right w:val="single" w:sz="8" w:space="0" w:color="auto"/>
            </w:tcBorders>
            <w:shd w:val="clear" w:color="auto" w:fill="auto"/>
            <w:hideMark/>
          </w:tcPr>
          <w:p w:rsidR="00C078F0" w:rsidRPr="007D69D6" w:rsidRDefault="00C078F0" w:rsidP="009E6387">
            <w:pPr>
              <w:jc w:val="center"/>
              <w:rPr>
                <w:color w:val="000000"/>
              </w:rPr>
            </w:pPr>
            <w:r w:rsidRPr="007D69D6">
              <w:rPr>
                <w:color w:val="000000"/>
              </w:rPr>
              <w:t> </w:t>
            </w:r>
          </w:p>
        </w:tc>
      </w:tr>
    </w:tbl>
    <w:p w:rsidR="00C078F0" w:rsidRPr="00C078F0" w:rsidRDefault="00C078F0" w:rsidP="00C078F0">
      <w:pPr>
        <w:spacing w:after="120"/>
        <w:jc w:val="both"/>
        <w:rPr>
          <w:lang w:val="fr-FR"/>
        </w:rPr>
      </w:pPr>
      <w:r w:rsidRPr="00C078F0">
        <w:rPr>
          <w:lang w:val="fr-FR"/>
        </w:rPr>
        <w:t>L’ensemble des offres technique et financière d’un consultant éligible sera évalué selon la formule suivante :</w:t>
      </w:r>
    </w:p>
    <w:p w:rsidR="00C078F0" w:rsidRPr="00C078F0" w:rsidRDefault="00C078F0" w:rsidP="00C078F0">
      <w:pPr>
        <w:spacing w:after="120"/>
        <w:jc w:val="both"/>
        <w:rPr>
          <w:u w:val="single"/>
          <w:lang w:val="fr-FR"/>
        </w:rPr>
      </w:pPr>
      <w:r w:rsidRPr="00C078F0">
        <w:rPr>
          <w:lang w:val="fr-FR"/>
        </w:rPr>
        <w:t>Note O</w:t>
      </w:r>
      <w:r w:rsidRPr="00C078F0">
        <w:rPr>
          <w:i/>
          <w:lang w:val="fr-FR"/>
        </w:rPr>
        <w:t>T</w:t>
      </w:r>
      <w:r w:rsidRPr="00C078F0">
        <w:rPr>
          <w:lang w:val="fr-FR"/>
        </w:rPr>
        <w:t xml:space="preserve"> (sur 70 pts)   + [OF moins dispendieuse /</w:t>
      </w:r>
      <w:r w:rsidRPr="00C078F0">
        <w:rPr>
          <w:i/>
          <w:lang w:val="fr-FR"/>
        </w:rPr>
        <w:t xml:space="preserve"> OF</w:t>
      </w:r>
      <w:r w:rsidRPr="00C078F0">
        <w:rPr>
          <w:lang w:val="fr-FR"/>
        </w:rPr>
        <w:t xml:space="preserve"> de la firme à évaluer] x 30 points    =  Note Totale (sur 100 points)</w:t>
      </w:r>
      <w:r w:rsidRPr="00C078F0">
        <w:rPr>
          <w:lang w:val="fr-FR"/>
        </w:rPr>
        <w:tab/>
      </w:r>
    </w:p>
    <w:p w:rsidR="00C078F0" w:rsidRPr="00C078F0" w:rsidRDefault="00C078F0" w:rsidP="00C078F0">
      <w:pPr>
        <w:spacing w:after="120"/>
        <w:rPr>
          <w:lang w:val="fr-FR"/>
        </w:rPr>
      </w:pPr>
      <w:r w:rsidRPr="00C078F0">
        <w:rPr>
          <w:i/>
          <w:lang w:val="fr-FR"/>
        </w:rPr>
        <w:t>(OT : Offre Technique  –  OF : Offre Financière)</w:t>
      </w:r>
    </w:p>
    <w:p w:rsidR="00C078F0" w:rsidRPr="00C078F0" w:rsidRDefault="00C078F0" w:rsidP="00C078F0">
      <w:pPr>
        <w:spacing w:after="120"/>
        <w:jc w:val="both"/>
        <w:rPr>
          <w:lang w:val="fr-FR"/>
        </w:rPr>
      </w:pPr>
      <w:r w:rsidRPr="00C078F0">
        <w:rPr>
          <w:lang w:val="fr-FR"/>
        </w:rPr>
        <w:t>La firme</w:t>
      </w:r>
      <w:r w:rsidR="005968AE">
        <w:rPr>
          <w:lang w:val="fr-FR"/>
        </w:rPr>
        <w:t>/</w:t>
      </w:r>
      <w:r w:rsidR="005968AE" w:rsidRPr="005968AE">
        <w:rPr>
          <w:color w:val="000000"/>
          <w:lang w:val="fr-FR"/>
        </w:rPr>
        <w:t xml:space="preserve"> </w:t>
      </w:r>
      <w:r w:rsidR="005968AE" w:rsidRPr="00C078F0">
        <w:rPr>
          <w:color w:val="000000"/>
          <w:lang w:val="fr-FR"/>
        </w:rPr>
        <w:t>professionnel consultant</w:t>
      </w:r>
      <w:r w:rsidRPr="00C078F0">
        <w:rPr>
          <w:lang w:val="fr-FR"/>
        </w:rPr>
        <w:t xml:space="preserve"> ayant présenté la proposition financière la moins dispendieuse aura ainsi la note maximale de 30 points, le rapport initial étant égal à 1.</w:t>
      </w:r>
    </w:p>
    <w:p w:rsidR="00C078F0" w:rsidRPr="00C078F0" w:rsidRDefault="00C078F0" w:rsidP="00C078F0">
      <w:pPr>
        <w:autoSpaceDE w:val="0"/>
        <w:autoSpaceDN w:val="0"/>
        <w:adjustRightInd w:val="0"/>
        <w:spacing w:after="120"/>
        <w:rPr>
          <w:rFonts w:eastAsia="Calibri"/>
          <w:lang w:val="fr-FR"/>
        </w:rPr>
      </w:pPr>
      <w:r w:rsidRPr="00C078F0">
        <w:rPr>
          <w:rFonts w:eastAsia="Calibri"/>
          <w:lang w:val="fr-FR"/>
        </w:rPr>
        <w:t>La composante financière d’une proposition ne sera évaluée que si la composante technique de cette même proposition atteint le nombre minimum de 40 points.</w:t>
      </w:r>
    </w:p>
    <w:p w:rsidR="00C078F0" w:rsidRPr="00C078F0" w:rsidRDefault="00C078F0" w:rsidP="00C078F0">
      <w:pPr>
        <w:autoSpaceDE w:val="0"/>
        <w:autoSpaceDN w:val="0"/>
        <w:adjustRightInd w:val="0"/>
        <w:spacing w:after="120"/>
        <w:jc w:val="both"/>
        <w:rPr>
          <w:rFonts w:eastAsia="Calibri"/>
          <w:lang w:val="fr-FR"/>
        </w:rPr>
      </w:pPr>
      <w:r w:rsidRPr="00C078F0">
        <w:rPr>
          <w:rFonts w:eastAsia="Calibri"/>
          <w:lang w:val="fr-FR"/>
        </w:rPr>
        <w:t xml:space="preserve">Le volet technique, qui a une valeur totale de 70 points, sera évalué à l'aide des critères suivants :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8148"/>
        <w:gridCol w:w="900"/>
      </w:tblGrid>
      <w:tr w:rsidR="00C078F0" w:rsidRPr="007D69D6" w:rsidTr="009E6387">
        <w:trPr>
          <w:trHeight w:val="494"/>
        </w:trPr>
        <w:tc>
          <w:tcPr>
            <w:tcW w:w="8604" w:type="dxa"/>
            <w:gridSpan w:val="2"/>
          </w:tcPr>
          <w:p w:rsidR="00C078F0" w:rsidRPr="007D69D6" w:rsidRDefault="00C078F0" w:rsidP="009E6387">
            <w:pPr>
              <w:pStyle w:val="BodyText2"/>
              <w:jc w:val="center"/>
              <w:rPr>
                <w:b/>
                <w:bCs/>
              </w:rPr>
            </w:pPr>
            <w:r w:rsidRPr="007D69D6">
              <w:rPr>
                <w:b/>
                <w:bCs/>
              </w:rPr>
              <w:t>Critères</w:t>
            </w:r>
          </w:p>
        </w:tc>
        <w:tc>
          <w:tcPr>
            <w:tcW w:w="900" w:type="dxa"/>
          </w:tcPr>
          <w:p w:rsidR="00C078F0" w:rsidRPr="007D69D6" w:rsidRDefault="00C078F0" w:rsidP="009E6387">
            <w:pPr>
              <w:pStyle w:val="BodyText2"/>
              <w:rPr>
                <w:b/>
                <w:bCs/>
              </w:rPr>
            </w:pPr>
            <w:r w:rsidRPr="007D69D6">
              <w:rPr>
                <w:b/>
                <w:bCs/>
              </w:rPr>
              <w:t>Points</w:t>
            </w:r>
          </w:p>
        </w:tc>
      </w:tr>
      <w:tr w:rsidR="00C078F0" w:rsidRPr="007D69D6" w:rsidTr="009E6387">
        <w:trPr>
          <w:trHeight w:val="593"/>
        </w:trPr>
        <w:tc>
          <w:tcPr>
            <w:tcW w:w="456" w:type="dxa"/>
            <w:vAlign w:val="center"/>
          </w:tcPr>
          <w:p w:rsidR="00C078F0" w:rsidRPr="007D69D6" w:rsidRDefault="00C078F0" w:rsidP="009E6387">
            <w:pPr>
              <w:pStyle w:val="BodyText2"/>
              <w:jc w:val="center"/>
              <w:rPr>
                <w:b/>
              </w:rPr>
            </w:pPr>
            <w:r w:rsidRPr="007D69D6">
              <w:rPr>
                <w:b/>
                <w:bCs/>
              </w:rPr>
              <w:t>1</w:t>
            </w:r>
          </w:p>
        </w:tc>
        <w:tc>
          <w:tcPr>
            <w:tcW w:w="8148" w:type="dxa"/>
            <w:vAlign w:val="center"/>
          </w:tcPr>
          <w:p w:rsidR="00C078F0" w:rsidRPr="007D69D6" w:rsidRDefault="00C078F0" w:rsidP="009E6387">
            <w:pPr>
              <w:pStyle w:val="NoSpacing"/>
            </w:pPr>
            <w:r w:rsidRPr="007D69D6">
              <w:t xml:space="preserve">Expérience du professionnel </w:t>
            </w:r>
            <w:r w:rsidR="005968AE">
              <w:t>Firme/</w:t>
            </w:r>
            <w:r w:rsidRPr="007D69D6">
              <w:t xml:space="preserve">consultant dans l’exécution de ce type de services ou d’autres apparentés  </w:t>
            </w:r>
          </w:p>
        </w:tc>
        <w:tc>
          <w:tcPr>
            <w:tcW w:w="900" w:type="dxa"/>
            <w:vAlign w:val="center"/>
          </w:tcPr>
          <w:p w:rsidR="00C078F0" w:rsidRPr="007D69D6" w:rsidRDefault="00C078F0" w:rsidP="009E6387">
            <w:pPr>
              <w:pStyle w:val="NoSpacing"/>
              <w:jc w:val="center"/>
              <w:rPr>
                <w:bCs/>
              </w:rPr>
            </w:pPr>
            <w:r w:rsidRPr="007D69D6">
              <w:t>30</w:t>
            </w:r>
          </w:p>
        </w:tc>
      </w:tr>
      <w:tr w:rsidR="00C078F0" w:rsidRPr="007D69D6" w:rsidTr="009E6387">
        <w:trPr>
          <w:trHeight w:val="733"/>
        </w:trPr>
        <w:tc>
          <w:tcPr>
            <w:tcW w:w="456" w:type="dxa"/>
            <w:vAlign w:val="center"/>
          </w:tcPr>
          <w:p w:rsidR="00C078F0" w:rsidRPr="007D69D6" w:rsidRDefault="00C078F0" w:rsidP="009E6387">
            <w:pPr>
              <w:pStyle w:val="BodyText2"/>
              <w:jc w:val="center"/>
              <w:rPr>
                <w:b/>
                <w:bCs/>
              </w:rPr>
            </w:pPr>
            <w:r w:rsidRPr="007D69D6">
              <w:rPr>
                <w:b/>
              </w:rPr>
              <w:t>2</w:t>
            </w:r>
          </w:p>
        </w:tc>
        <w:tc>
          <w:tcPr>
            <w:tcW w:w="8148" w:type="dxa"/>
            <w:vAlign w:val="center"/>
          </w:tcPr>
          <w:p w:rsidR="00C078F0" w:rsidRPr="007D69D6" w:rsidRDefault="005968AE" w:rsidP="009E6387">
            <w:pPr>
              <w:pStyle w:val="NoSpacing"/>
              <w:rPr>
                <w:bCs/>
              </w:rPr>
            </w:pPr>
            <w:r>
              <w:rPr>
                <w:rFonts w:ascii="Calibri" w:eastAsia="Calibri" w:hAnsi="Calibri" w:cs="Calibri"/>
                <w:color w:val="000000"/>
              </w:rPr>
              <w:t>Formation en infectiologie ou un Diplôme universitaire (DU) sur la prise en charge globale du VIH est un atout </w:t>
            </w:r>
          </w:p>
        </w:tc>
        <w:tc>
          <w:tcPr>
            <w:tcW w:w="900" w:type="dxa"/>
            <w:vAlign w:val="center"/>
          </w:tcPr>
          <w:p w:rsidR="00C078F0" w:rsidRPr="007D69D6" w:rsidRDefault="005968AE" w:rsidP="009E6387">
            <w:pPr>
              <w:pStyle w:val="NoSpacing"/>
              <w:jc w:val="center"/>
              <w:rPr>
                <w:bCs/>
              </w:rPr>
            </w:pPr>
            <w:r>
              <w:t>30</w:t>
            </w:r>
          </w:p>
        </w:tc>
      </w:tr>
      <w:tr w:rsidR="00C078F0" w:rsidRPr="007D69D6" w:rsidTr="009E6387">
        <w:trPr>
          <w:trHeight w:val="620"/>
        </w:trPr>
        <w:tc>
          <w:tcPr>
            <w:tcW w:w="456" w:type="dxa"/>
            <w:vAlign w:val="center"/>
          </w:tcPr>
          <w:p w:rsidR="00C078F0" w:rsidRPr="007D69D6" w:rsidRDefault="00C078F0" w:rsidP="009E6387">
            <w:pPr>
              <w:pStyle w:val="BodyText2"/>
              <w:jc w:val="center"/>
              <w:rPr>
                <w:b/>
                <w:bCs/>
              </w:rPr>
            </w:pPr>
            <w:r w:rsidRPr="007D69D6">
              <w:rPr>
                <w:b/>
              </w:rPr>
              <w:t>3</w:t>
            </w:r>
          </w:p>
        </w:tc>
        <w:tc>
          <w:tcPr>
            <w:tcW w:w="8148" w:type="dxa"/>
            <w:vAlign w:val="center"/>
          </w:tcPr>
          <w:p w:rsidR="00C078F0" w:rsidRPr="007D69D6" w:rsidRDefault="005968AE" w:rsidP="009E6387">
            <w:pPr>
              <w:pStyle w:val="NoSpacing"/>
              <w:jc w:val="left"/>
              <w:rPr>
                <w:bCs/>
              </w:rPr>
            </w:pPr>
            <w:r>
              <w:rPr>
                <w:rFonts w:ascii="Calibri" w:eastAsia="Calibri" w:hAnsi="Calibri" w:cs="Calibri"/>
                <w:color w:val="000000"/>
              </w:rPr>
              <w:t>Bonne connaissance des normes et directives nationales de prise en charge globale du VIH, en particulier dans l’ETP et l’APS </w:t>
            </w:r>
          </w:p>
        </w:tc>
        <w:tc>
          <w:tcPr>
            <w:tcW w:w="900" w:type="dxa"/>
            <w:vAlign w:val="center"/>
          </w:tcPr>
          <w:p w:rsidR="00C078F0" w:rsidRPr="007D69D6" w:rsidRDefault="005968AE" w:rsidP="009E6387">
            <w:pPr>
              <w:pStyle w:val="NoSpacing"/>
              <w:jc w:val="center"/>
              <w:rPr>
                <w:bCs/>
              </w:rPr>
            </w:pPr>
            <w:r>
              <w:t>20</w:t>
            </w:r>
          </w:p>
        </w:tc>
      </w:tr>
      <w:tr w:rsidR="00C078F0" w:rsidRPr="007D69D6" w:rsidTr="009E6387">
        <w:trPr>
          <w:trHeight w:val="575"/>
        </w:trPr>
        <w:tc>
          <w:tcPr>
            <w:tcW w:w="456" w:type="dxa"/>
            <w:vAlign w:val="center"/>
          </w:tcPr>
          <w:p w:rsidR="00C078F0" w:rsidRPr="007D69D6" w:rsidRDefault="00C078F0" w:rsidP="009E6387">
            <w:pPr>
              <w:pStyle w:val="BodyText2"/>
              <w:jc w:val="center"/>
              <w:rPr>
                <w:b/>
                <w:bCs/>
              </w:rPr>
            </w:pPr>
            <w:r w:rsidRPr="007D69D6">
              <w:rPr>
                <w:b/>
                <w:bCs/>
              </w:rPr>
              <w:t>4</w:t>
            </w:r>
          </w:p>
        </w:tc>
        <w:tc>
          <w:tcPr>
            <w:tcW w:w="8148" w:type="dxa"/>
            <w:vAlign w:val="center"/>
          </w:tcPr>
          <w:p w:rsidR="00C078F0" w:rsidRPr="005968AE" w:rsidRDefault="00C078F0" w:rsidP="009E6387">
            <w:pPr>
              <w:pStyle w:val="NoSpacing"/>
              <w:jc w:val="left"/>
              <w:rPr>
                <w:rFonts w:asciiTheme="minorHAnsi" w:hAnsiTheme="minorHAnsi" w:cstheme="minorHAnsi"/>
                <w:bCs/>
              </w:rPr>
            </w:pPr>
            <w:r w:rsidRPr="005968AE">
              <w:rPr>
                <w:rFonts w:asciiTheme="minorHAnsi" w:hAnsiTheme="minorHAnsi" w:cstheme="minorHAnsi"/>
              </w:rPr>
              <w:t>Clarté et logique du chronogramme proposé</w:t>
            </w:r>
            <w:r w:rsidRPr="005968AE" w:rsidDel="00AF4814">
              <w:rPr>
                <w:rFonts w:asciiTheme="minorHAnsi" w:hAnsiTheme="minorHAnsi" w:cstheme="minorHAnsi"/>
              </w:rPr>
              <w:t xml:space="preserve"> </w:t>
            </w:r>
          </w:p>
        </w:tc>
        <w:tc>
          <w:tcPr>
            <w:tcW w:w="900" w:type="dxa"/>
            <w:vAlign w:val="center"/>
          </w:tcPr>
          <w:p w:rsidR="00C078F0" w:rsidRPr="007D69D6" w:rsidRDefault="00C078F0" w:rsidP="009E6387">
            <w:pPr>
              <w:pStyle w:val="NoSpacing"/>
              <w:jc w:val="center"/>
              <w:rPr>
                <w:bCs/>
              </w:rPr>
            </w:pPr>
            <w:r w:rsidRPr="007D69D6">
              <w:t>20</w:t>
            </w:r>
          </w:p>
        </w:tc>
      </w:tr>
      <w:tr w:rsidR="00C078F0" w:rsidRPr="007D69D6" w:rsidTr="009E6387">
        <w:trPr>
          <w:trHeight w:val="512"/>
        </w:trPr>
        <w:tc>
          <w:tcPr>
            <w:tcW w:w="8604" w:type="dxa"/>
            <w:gridSpan w:val="2"/>
          </w:tcPr>
          <w:p w:rsidR="00C078F0" w:rsidRPr="007D69D6" w:rsidRDefault="00C078F0" w:rsidP="009E6387">
            <w:pPr>
              <w:pStyle w:val="BodyText2"/>
              <w:rPr>
                <w:b/>
              </w:rPr>
            </w:pPr>
            <w:r w:rsidRPr="007D69D6">
              <w:rPr>
                <w:b/>
              </w:rPr>
              <w:lastRenderedPageBreak/>
              <w:t>Total</w:t>
            </w:r>
          </w:p>
        </w:tc>
        <w:tc>
          <w:tcPr>
            <w:tcW w:w="900" w:type="dxa"/>
            <w:vAlign w:val="center"/>
          </w:tcPr>
          <w:p w:rsidR="00C078F0" w:rsidRPr="007D69D6" w:rsidRDefault="00C078F0" w:rsidP="009E6387">
            <w:pPr>
              <w:pStyle w:val="BodyText2"/>
              <w:jc w:val="center"/>
              <w:rPr>
                <w:b/>
                <w:bCs/>
              </w:rPr>
            </w:pPr>
            <w:r w:rsidRPr="007D69D6">
              <w:rPr>
                <w:b/>
                <w:bCs/>
              </w:rPr>
              <w:t>100</w:t>
            </w:r>
          </w:p>
        </w:tc>
      </w:tr>
    </w:tbl>
    <w:p w:rsidR="00C078F0" w:rsidRDefault="00C078F0" w:rsidP="00C078F0">
      <w:pPr>
        <w:spacing w:after="120" w:line="276" w:lineRule="auto"/>
        <w:jc w:val="both"/>
      </w:pPr>
    </w:p>
    <w:p w:rsidR="00C078F0" w:rsidRPr="00A60ECB" w:rsidRDefault="00C078F0" w:rsidP="00C078F0">
      <w:pPr>
        <w:numPr>
          <w:ilvl w:val="0"/>
          <w:numId w:val="5"/>
        </w:numPr>
        <w:spacing w:after="120" w:line="276" w:lineRule="auto"/>
        <w:jc w:val="both"/>
        <w:rPr>
          <w:b/>
        </w:rPr>
      </w:pPr>
      <w:r w:rsidRPr="00A60ECB">
        <w:rPr>
          <w:b/>
        </w:rPr>
        <w:t xml:space="preserve">Arrangements techniques et </w:t>
      </w:r>
      <w:proofErr w:type="spellStart"/>
      <w:r w:rsidRPr="00A60ECB">
        <w:rPr>
          <w:b/>
        </w:rPr>
        <w:t>administratifs</w:t>
      </w:r>
      <w:proofErr w:type="spellEnd"/>
    </w:p>
    <w:p w:rsidR="00C078F0" w:rsidRPr="00C078F0" w:rsidRDefault="00965DAD" w:rsidP="00C078F0">
      <w:pPr>
        <w:spacing w:after="120" w:line="276" w:lineRule="auto"/>
        <w:jc w:val="both"/>
        <w:rPr>
          <w:lang w:val="fr-FR"/>
        </w:rPr>
      </w:pPr>
      <w:r>
        <w:rPr>
          <w:lang w:val="fr-FR"/>
        </w:rPr>
        <w:t>La Firme/</w:t>
      </w:r>
      <w:r w:rsidR="00C078F0" w:rsidRPr="00C078F0">
        <w:rPr>
          <w:lang w:val="fr-FR"/>
        </w:rPr>
        <w:t xml:space="preserve">consultant sera sous la supervision directe de la Coordonnatrice du PNLS. Mais, il travaillera </w:t>
      </w:r>
      <w:r>
        <w:rPr>
          <w:lang w:val="fr-FR"/>
        </w:rPr>
        <w:t>en étroite collaboration avec le responsable du s</w:t>
      </w:r>
      <w:r w:rsidR="00C078F0" w:rsidRPr="00C078F0">
        <w:rPr>
          <w:lang w:val="fr-FR"/>
        </w:rPr>
        <w:t xml:space="preserve">ervice </w:t>
      </w:r>
      <w:r>
        <w:rPr>
          <w:lang w:val="fr-FR"/>
        </w:rPr>
        <w:t>Prise en Charge Psychosocial</w:t>
      </w:r>
      <w:r w:rsidR="00C078F0" w:rsidRPr="00C078F0">
        <w:rPr>
          <w:lang w:val="fr-FR"/>
        </w:rPr>
        <w:t xml:space="preserve">.  </w:t>
      </w:r>
    </w:p>
    <w:p w:rsidR="00C078F0" w:rsidRPr="00C078F0" w:rsidRDefault="00C078F0" w:rsidP="00C078F0">
      <w:pPr>
        <w:spacing w:after="120" w:line="276" w:lineRule="auto"/>
        <w:jc w:val="both"/>
        <w:rPr>
          <w:lang w:val="fr-FR"/>
        </w:rPr>
      </w:pPr>
      <w:r w:rsidRPr="00C078F0">
        <w:rPr>
          <w:lang w:val="fr-FR"/>
        </w:rPr>
        <w:t>Les honoraires du consultant seront payés par le projet « </w:t>
      </w:r>
      <w:r w:rsidR="005968AE">
        <w:rPr>
          <w:lang w:val="fr-FR"/>
        </w:rPr>
        <w:t>Renforcement UCC/M&amp;E</w:t>
      </w:r>
      <w:r w:rsidRPr="00C078F0">
        <w:rPr>
          <w:lang w:val="fr-FR"/>
        </w:rPr>
        <w:t> » de la subvention VIH/Sida d</w:t>
      </w:r>
      <w:r w:rsidR="00965DAD">
        <w:rPr>
          <w:lang w:val="fr-FR"/>
        </w:rPr>
        <w:t>e PEPFAR</w:t>
      </w:r>
      <w:r w:rsidRPr="00C078F0">
        <w:rPr>
          <w:lang w:val="fr-FR"/>
        </w:rPr>
        <w:t>. Les arrangements contractuels incluront d’autres éléments non mentionnés dans ces Termes de Référence qui obligeront les parties signataires à respecter le calendrier d’exécution, la production des extrants et le paiement de cette consultation technique.</w:t>
      </w:r>
    </w:p>
    <w:p w:rsidR="00C078F0" w:rsidRPr="00C078F0" w:rsidRDefault="00C078F0" w:rsidP="00C078F0">
      <w:pPr>
        <w:spacing w:after="120" w:line="276" w:lineRule="auto"/>
        <w:jc w:val="both"/>
        <w:rPr>
          <w:lang w:val="fr-FR"/>
        </w:rPr>
      </w:pPr>
    </w:p>
    <w:p w:rsidR="00965DAD" w:rsidRPr="00965DAD" w:rsidRDefault="00965DAD" w:rsidP="00965DAD">
      <w:pPr>
        <w:pStyle w:val="ListParagraph"/>
        <w:numPr>
          <w:ilvl w:val="0"/>
          <w:numId w:val="5"/>
        </w:numPr>
        <w:spacing w:after="0" w:line="276" w:lineRule="auto"/>
        <w:rPr>
          <w:b/>
          <w:sz w:val="24"/>
          <w:szCs w:val="24"/>
          <w:lang w:val="fr-FR"/>
        </w:rPr>
      </w:pPr>
      <w:r w:rsidRPr="00965DAD">
        <w:rPr>
          <w:rFonts w:ascii="Calibri" w:eastAsia="Calibri" w:hAnsi="Calibri" w:cs="Calibri"/>
          <w:b/>
          <w:sz w:val="24"/>
          <w:szCs w:val="24"/>
          <w:lang w:val="fr-FR"/>
        </w:rPr>
        <w:t>Profil du consultant :</w:t>
      </w:r>
    </w:p>
    <w:p w:rsidR="00965DAD" w:rsidRPr="00965DAD" w:rsidRDefault="00965DAD" w:rsidP="00965DAD">
      <w:pPr>
        <w:spacing w:after="0" w:line="276" w:lineRule="auto"/>
        <w:rPr>
          <w:sz w:val="24"/>
          <w:szCs w:val="24"/>
          <w:lang w:val="fr-FR"/>
        </w:rPr>
      </w:pPr>
      <w:r>
        <w:rPr>
          <w:rFonts w:ascii="Calibri" w:eastAsia="Calibri" w:hAnsi="Calibri" w:cs="Calibri"/>
          <w:sz w:val="24"/>
          <w:szCs w:val="24"/>
          <w:lang w:val="fr-FR"/>
        </w:rPr>
        <w:t>La Firmes/consultant</w:t>
      </w:r>
      <w:r w:rsidRPr="00965DAD">
        <w:rPr>
          <w:rFonts w:ascii="Calibri" w:eastAsia="Calibri" w:hAnsi="Calibri" w:cs="Calibri"/>
          <w:sz w:val="24"/>
          <w:szCs w:val="24"/>
          <w:lang w:val="fr-FR"/>
        </w:rPr>
        <w:t xml:space="preserve"> qui aura à animer la séance de formation </w:t>
      </w:r>
      <w:proofErr w:type="gramStart"/>
      <w:r w:rsidRPr="00965DAD">
        <w:rPr>
          <w:rFonts w:ascii="Calibri" w:eastAsia="Calibri" w:hAnsi="Calibri" w:cs="Calibri"/>
          <w:sz w:val="24"/>
          <w:szCs w:val="24"/>
          <w:lang w:val="fr-FR"/>
        </w:rPr>
        <w:t>doivent</w:t>
      </w:r>
      <w:proofErr w:type="gramEnd"/>
      <w:r w:rsidRPr="00965DAD">
        <w:rPr>
          <w:rFonts w:ascii="Calibri" w:eastAsia="Calibri" w:hAnsi="Calibri" w:cs="Calibri"/>
          <w:sz w:val="24"/>
          <w:szCs w:val="24"/>
          <w:lang w:val="fr-FR"/>
        </w:rPr>
        <w:t xml:space="preserve">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Être un personnel forme sur la prise en charge globale du VIH (clinique, thérapeutique, prise en charge psychosociale et ETP)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Être en mesure de démontrer ses compétences en ETP et l’APS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Avoir une formation en infectiologie ou un Diplôme universitaire (DU) sur la prise en charge globale du VIH est un atout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 xml:space="preserve">Avoir déjà exécuté ce type de formation ou des formations similaires </w:t>
      </w:r>
      <w:r w:rsidR="00EE14ED" w:rsidRPr="00965DAD">
        <w:rPr>
          <w:rFonts w:ascii="Calibri" w:eastAsia="Calibri" w:hAnsi="Calibri" w:cs="Calibri"/>
          <w:color w:val="000000"/>
          <w:sz w:val="24"/>
          <w:szCs w:val="24"/>
          <w:lang w:val="fr-FR"/>
        </w:rPr>
        <w:t>auprès</w:t>
      </w:r>
      <w:r w:rsidRPr="00965DAD">
        <w:rPr>
          <w:rFonts w:ascii="Calibri" w:eastAsia="Calibri" w:hAnsi="Calibri" w:cs="Calibri"/>
          <w:color w:val="000000"/>
          <w:sz w:val="24"/>
          <w:szCs w:val="24"/>
          <w:lang w:val="fr-FR"/>
        </w:rPr>
        <w:t xml:space="preserve"> du personnel du programme VIH haïtien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Être apte à dispenser la formation dans un langage clair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Avoir de bonnes connaissances des normes et directives nationales de prise en charge globale du VIH, en particulier dans l’ETP et l’APS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Compétences du pool des formateurs en VIH/IST particulièrement en ETP et APS ;</w:t>
      </w:r>
    </w:p>
    <w:p w:rsidR="00965DAD" w:rsidRPr="00965DAD" w:rsidRDefault="00965DAD" w:rsidP="00965DAD">
      <w:pPr>
        <w:numPr>
          <w:ilvl w:val="0"/>
          <w:numId w:val="9"/>
        </w:numPr>
        <w:pBdr>
          <w:top w:val="nil"/>
          <w:left w:val="nil"/>
          <w:bottom w:val="nil"/>
          <w:right w:val="nil"/>
          <w:between w:val="nil"/>
        </w:pBdr>
        <w:spacing w:after="0" w:line="276" w:lineRule="auto"/>
        <w:rPr>
          <w:color w:val="000000"/>
          <w:sz w:val="24"/>
          <w:szCs w:val="24"/>
          <w:lang w:val="fr-FR"/>
        </w:rPr>
      </w:pPr>
      <w:r w:rsidRPr="00965DAD">
        <w:rPr>
          <w:rFonts w:ascii="Calibri" w:eastAsia="Calibri" w:hAnsi="Calibri" w:cs="Calibri"/>
          <w:color w:val="000000"/>
          <w:sz w:val="24"/>
          <w:szCs w:val="24"/>
          <w:lang w:val="fr-FR"/>
        </w:rPr>
        <w:t>Disponibilité immédiate et capacité de livrer le produit final à temps.</w:t>
      </w:r>
    </w:p>
    <w:p w:rsidR="00C078F0" w:rsidRPr="00C078F0" w:rsidRDefault="00C078F0" w:rsidP="00C078F0">
      <w:pPr>
        <w:spacing w:after="120"/>
        <w:ind w:left="720"/>
        <w:jc w:val="both"/>
        <w:rPr>
          <w:lang w:val="fr-FR"/>
        </w:rPr>
      </w:pPr>
    </w:p>
    <w:p w:rsidR="00C078F0" w:rsidRPr="00A60ECB" w:rsidRDefault="00C078F0" w:rsidP="00C078F0">
      <w:pPr>
        <w:numPr>
          <w:ilvl w:val="0"/>
          <w:numId w:val="5"/>
        </w:numPr>
        <w:spacing w:after="120" w:line="240" w:lineRule="auto"/>
        <w:jc w:val="both"/>
        <w:rPr>
          <w:b/>
        </w:rPr>
      </w:pPr>
      <w:r w:rsidRPr="00A60ECB">
        <w:rPr>
          <w:b/>
        </w:rPr>
        <w:t xml:space="preserve">Composition du dossier de </w:t>
      </w:r>
      <w:proofErr w:type="spellStart"/>
      <w:r w:rsidRPr="00A60ECB">
        <w:rPr>
          <w:b/>
        </w:rPr>
        <w:t>soumission</w:t>
      </w:r>
      <w:proofErr w:type="spellEnd"/>
    </w:p>
    <w:p w:rsidR="00C078F0" w:rsidRPr="00C078F0" w:rsidRDefault="00C078F0" w:rsidP="00C078F0">
      <w:pPr>
        <w:autoSpaceDE w:val="0"/>
        <w:autoSpaceDN w:val="0"/>
        <w:adjustRightInd w:val="0"/>
        <w:spacing w:after="120"/>
        <w:jc w:val="both"/>
        <w:rPr>
          <w:lang w:val="fr-FR"/>
        </w:rPr>
      </w:pPr>
      <w:r w:rsidRPr="00C078F0">
        <w:rPr>
          <w:lang w:val="fr-FR"/>
        </w:rPr>
        <w:t>Le dossier de soumission doit comprendre :</w:t>
      </w:r>
    </w:p>
    <w:p w:rsidR="00C078F0" w:rsidRPr="00A60ECB" w:rsidRDefault="00C078F0" w:rsidP="00C078F0">
      <w:pPr>
        <w:numPr>
          <w:ilvl w:val="0"/>
          <w:numId w:val="8"/>
        </w:numPr>
        <w:autoSpaceDE w:val="0"/>
        <w:autoSpaceDN w:val="0"/>
        <w:adjustRightInd w:val="0"/>
        <w:spacing w:after="120" w:line="240" w:lineRule="auto"/>
        <w:jc w:val="both"/>
      </w:pPr>
      <w:proofErr w:type="spellStart"/>
      <w:r w:rsidRPr="00A60ECB">
        <w:t>Une</w:t>
      </w:r>
      <w:proofErr w:type="spellEnd"/>
      <w:r w:rsidRPr="00A60ECB">
        <w:t xml:space="preserve"> </w:t>
      </w:r>
      <w:proofErr w:type="spellStart"/>
      <w:r w:rsidRPr="00A60ECB">
        <w:t>lettre</w:t>
      </w:r>
      <w:proofErr w:type="spellEnd"/>
      <w:r w:rsidRPr="00A60ECB">
        <w:t xml:space="preserve"> </w:t>
      </w:r>
      <w:proofErr w:type="spellStart"/>
      <w:r w:rsidRPr="00A60ECB">
        <w:t>d’intention</w:t>
      </w:r>
      <w:proofErr w:type="spellEnd"/>
      <w:r w:rsidRPr="00A60ECB">
        <w:t> ;</w:t>
      </w:r>
    </w:p>
    <w:p w:rsidR="00C078F0" w:rsidRPr="00C078F0" w:rsidRDefault="00C078F0" w:rsidP="00C078F0">
      <w:pPr>
        <w:numPr>
          <w:ilvl w:val="0"/>
          <w:numId w:val="8"/>
        </w:numPr>
        <w:autoSpaceDE w:val="0"/>
        <w:autoSpaceDN w:val="0"/>
        <w:adjustRightInd w:val="0"/>
        <w:spacing w:after="120" w:line="240" w:lineRule="auto"/>
        <w:jc w:val="both"/>
        <w:rPr>
          <w:lang w:val="fr-FR"/>
        </w:rPr>
      </w:pPr>
      <w:r w:rsidRPr="00C078F0">
        <w:rPr>
          <w:lang w:val="fr-FR"/>
        </w:rPr>
        <w:t>Le curriculum vitae du postulant ;</w:t>
      </w:r>
    </w:p>
    <w:p w:rsidR="00C078F0" w:rsidRPr="00A60ECB" w:rsidRDefault="00C078F0" w:rsidP="00C078F0">
      <w:pPr>
        <w:numPr>
          <w:ilvl w:val="0"/>
          <w:numId w:val="8"/>
        </w:numPr>
        <w:autoSpaceDE w:val="0"/>
        <w:autoSpaceDN w:val="0"/>
        <w:adjustRightInd w:val="0"/>
        <w:spacing w:after="120" w:line="240" w:lineRule="auto"/>
        <w:jc w:val="both"/>
      </w:pPr>
      <w:proofErr w:type="spellStart"/>
      <w:r w:rsidRPr="00A60ECB">
        <w:t>Une</w:t>
      </w:r>
      <w:proofErr w:type="spellEnd"/>
      <w:r w:rsidRPr="00A60ECB">
        <w:t xml:space="preserve"> proposition technique ;</w:t>
      </w:r>
    </w:p>
    <w:p w:rsidR="00C078F0" w:rsidRDefault="00C078F0" w:rsidP="00C078F0">
      <w:pPr>
        <w:numPr>
          <w:ilvl w:val="0"/>
          <w:numId w:val="8"/>
        </w:numPr>
        <w:autoSpaceDE w:val="0"/>
        <w:autoSpaceDN w:val="0"/>
        <w:adjustRightInd w:val="0"/>
        <w:spacing w:after="120" w:line="240" w:lineRule="auto"/>
        <w:jc w:val="both"/>
        <w:rPr>
          <w:lang w:val="fr-FR"/>
        </w:rPr>
      </w:pPr>
      <w:r w:rsidRPr="00C078F0">
        <w:rPr>
          <w:lang w:val="fr-FR"/>
        </w:rPr>
        <w:t>Une proposition financière pour l’élaboration du rapport.</w:t>
      </w:r>
    </w:p>
    <w:p w:rsidR="00EE14ED" w:rsidRPr="000D5D26" w:rsidRDefault="00EE14ED" w:rsidP="00EE14ED">
      <w:pPr>
        <w:autoSpaceDE w:val="0"/>
        <w:autoSpaceDN w:val="0"/>
        <w:adjustRightInd w:val="0"/>
        <w:spacing w:after="0" w:line="276" w:lineRule="auto"/>
        <w:jc w:val="both"/>
        <w:rPr>
          <w:rFonts w:ascii="Calibri" w:hAnsi="Calibri" w:cs="Calibri"/>
          <w:sz w:val="24"/>
          <w:szCs w:val="24"/>
          <w:lang w:val="fr-FR"/>
        </w:rPr>
      </w:pPr>
      <w:r>
        <w:rPr>
          <w:rFonts w:ascii="Calibri" w:hAnsi="Calibri" w:cs="Calibri"/>
          <w:sz w:val="24"/>
          <w:szCs w:val="24"/>
          <w:lang w:val="fr-FR"/>
        </w:rPr>
        <w:t xml:space="preserve">Pour une firme, une copie de patente à jour est obligatoire. </w:t>
      </w:r>
    </w:p>
    <w:p w:rsidR="00EE14ED" w:rsidRPr="00C078F0" w:rsidRDefault="00EE14ED" w:rsidP="00EE14ED">
      <w:pPr>
        <w:autoSpaceDE w:val="0"/>
        <w:autoSpaceDN w:val="0"/>
        <w:adjustRightInd w:val="0"/>
        <w:spacing w:after="120" w:line="240" w:lineRule="auto"/>
        <w:jc w:val="both"/>
        <w:rPr>
          <w:lang w:val="fr-FR"/>
        </w:rPr>
      </w:pPr>
    </w:p>
    <w:p w:rsidR="00C078F0" w:rsidRPr="00C078F0" w:rsidRDefault="00C078F0" w:rsidP="00C078F0">
      <w:pPr>
        <w:spacing w:after="120"/>
        <w:rPr>
          <w:rFonts w:ascii="Calibri" w:hAnsi="Calibri"/>
          <w:b/>
          <w:lang w:val="fr-FR"/>
        </w:rPr>
      </w:pPr>
    </w:p>
    <w:p w:rsidR="00C078F0" w:rsidRPr="007D69D6" w:rsidRDefault="00C078F0" w:rsidP="00C078F0">
      <w:pPr>
        <w:numPr>
          <w:ilvl w:val="0"/>
          <w:numId w:val="5"/>
        </w:numPr>
        <w:spacing w:after="120" w:line="240" w:lineRule="auto"/>
      </w:pPr>
      <w:proofErr w:type="spellStart"/>
      <w:r w:rsidRPr="007D69D6">
        <w:rPr>
          <w:b/>
        </w:rPr>
        <w:lastRenderedPageBreak/>
        <w:t>Dépôt</w:t>
      </w:r>
      <w:proofErr w:type="spellEnd"/>
      <w:r w:rsidRPr="007D69D6">
        <w:rPr>
          <w:b/>
        </w:rPr>
        <w:t xml:space="preserve"> des dossiers </w:t>
      </w:r>
    </w:p>
    <w:p w:rsidR="00C078F0" w:rsidRPr="00C078F0" w:rsidRDefault="00C078F0" w:rsidP="00C078F0">
      <w:pPr>
        <w:autoSpaceDE w:val="0"/>
        <w:autoSpaceDN w:val="0"/>
        <w:adjustRightInd w:val="0"/>
        <w:spacing w:after="120" w:line="276" w:lineRule="auto"/>
        <w:jc w:val="both"/>
        <w:rPr>
          <w:bCs/>
          <w:lang w:val="fr-FR"/>
        </w:rPr>
      </w:pPr>
      <w:r w:rsidRPr="00C078F0">
        <w:rPr>
          <w:bCs/>
          <w:lang w:val="fr-FR"/>
        </w:rPr>
        <w:t>Les dossiers de soumission (5 copies) doivent être déposés sous plis cachet</w:t>
      </w:r>
      <w:r w:rsidRPr="00C078F0">
        <w:rPr>
          <w:bCs/>
          <w:lang w:val="fr-FR" w:eastAsia="ja-JP"/>
        </w:rPr>
        <w:t>és</w:t>
      </w:r>
      <w:r w:rsidRPr="00C078F0">
        <w:rPr>
          <w:bCs/>
          <w:lang w:val="fr-FR"/>
        </w:rPr>
        <w:t xml:space="preserve"> à l’adresse suivante # 2, Rue </w:t>
      </w:r>
      <w:proofErr w:type="spellStart"/>
      <w:r w:rsidRPr="00C078F0">
        <w:rPr>
          <w:bCs/>
          <w:lang w:val="fr-FR"/>
        </w:rPr>
        <w:t>Boisrond</w:t>
      </w:r>
      <w:proofErr w:type="spellEnd"/>
      <w:r w:rsidRPr="00C078F0">
        <w:rPr>
          <w:bCs/>
          <w:lang w:val="fr-FR"/>
        </w:rPr>
        <w:t xml:space="preserve"> Canal, Puits Blain 24, Pétion-ville, au plus tard</w:t>
      </w:r>
      <w:r w:rsidR="00640929">
        <w:rPr>
          <w:b/>
          <w:bCs/>
          <w:lang w:val="fr-FR"/>
        </w:rPr>
        <w:t xml:space="preserve">, le  14 </w:t>
      </w:r>
      <w:r w:rsidR="00EE14ED">
        <w:rPr>
          <w:b/>
          <w:bCs/>
          <w:lang w:val="fr-FR"/>
        </w:rPr>
        <w:t xml:space="preserve">Septembre </w:t>
      </w:r>
      <w:r w:rsidRPr="00C078F0">
        <w:rPr>
          <w:b/>
          <w:bCs/>
          <w:lang w:val="fr-FR"/>
        </w:rPr>
        <w:t>à 4h00pm</w:t>
      </w:r>
      <w:r w:rsidRPr="00C078F0">
        <w:rPr>
          <w:bCs/>
          <w:lang w:val="fr-FR"/>
        </w:rPr>
        <w:t>. L’enveloppe doit porter le nom du soumissionnaire</w:t>
      </w:r>
      <w:r w:rsidR="00965DAD">
        <w:rPr>
          <w:bCs/>
          <w:lang w:val="fr-FR"/>
        </w:rPr>
        <w:t>, son numéro de téléphone et son adresse électronique</w:t>
      </w:r>
      <w:r w:rsidRPr="00C078F0">
        <w:rPr>
          <w:bCs/>
          <w:lang w:val="fr-FR"/>
        </w:rPr>
        <w:t xml:space="preserve"> avec la mention «</w:t>
      </w:r>
      <w:r w:rsidR="00965DAD" w:rsidRPr="00C078F0">
        <w:rPr>
          <w:b/>
          <w:sz w:val="24"/>
          <w:szCs w:val="24"/>
          <w:lang w:val="fr-FR"/>
        </w:rPr>
        <w:t>Formation sur l’Education thérapeutique et la Prise en charge psychosociale en faveur des prestataires de soins du programme VIH/sida</w:t>
      </w:r>
      <w:r w:rsidRPr="00C078F0">
        <w:rPr>
          <w:bCs/>
          <w:lang w:val="fr-FR"/>
        </w:rPr>
        <w:t> ».</w:t>
      </w:r>
    </w:p>
    <w:p w:rsidR="006B5E30" w:rsidRDefault="006B5E30" w:rsidP="006B5E30">
      <w:pPr>
        <w:autoSpaceDE w:val="0"/>
        <w:autoSpaceDN w:val="0"/>
        <w:adjustRightInd w:val="0"/>
        <w:spacing w:after="0" w:line="276" w:lineRule="auto"/>
        <w:jc w:val="both"/>
        <w:rPr>
          <w:rFonts w:ascii="Calibri" w:hAnsi="Calibri" w:cs="Calibri"/>
          <w:sz w:val="24"/>
          <w:szCs w:val="24"/>
          <w:lang w:val="fr-FR"/>
        </w:rPr>
      </w:pPr>
    </w:p>
    <w:p w:rsidR="00D327B2" w:rsidRDefault="00D327B2" w:rsidP="000D5D26">
      <w:pPr>
        <w:autoSpaceDE w:val="0"/>
        <w:autoSpaceDN w:val="0"/>
        <w:adjustRightInd w:val="0"/>
        <w:spacing w:after="0" w:line="276" w:lineRule="auto"/>
        <w:jc w:val="both"/>
        <w:rPr>
          <w:rFonts w:ascii="Calibri" w:hAnsi="Calibri" w:cs="Calibri"/>
          <w:sz w:val="24"/>
          <w:szCs w:val="24"/>
          <w:lang w:val="fr-FR"/>
        </w:rPr>
      </w:pPr>
    </w:p>
    <w:p w:rsidR="00C078F0" w:rsidRPr="000D5D26" w:rsidRDefault="00C078F0" w:rsidP="000D5D26">
      <w:pPr>
        <w:autoSpaceDE w:val="0"/>
        <w:autoSpaceDN w:val="0"/>
        <w:adjustRightInd w:val="0"/>
        <w:spacing w:after="0" w:line="276" w:lineRule="auto"/>
        <w:jc w:val="both"/>
        <w:rPr>
          <w:rFonts w:ascii="Calibri" w:hAnsi="Calibri" w:cs="Calibri"/>
          <w:sz w:val="24"/>
          <w:szCs w:val="24"/>
          <w:lang w:val="fr-FR"/>
        </w:rPr>
      </w:pPr>
    </w:p>
    <w:p w:rsidR="000D5D26" w:rsidRDefault="000D5D26" w:rsidP="0017483C">
      <w:pPr>
        <w:autoSpaceDE w:val="0"/>
        <w:autoSpaceDN w:val="0"/>
        <w:adjustRightInd w:val="0"/>
        <w:spacing w:after="0" w:line="240" w:lineRule="auto"/>
        <w:jc w:val="both"/>
        <w:rPr>
          <w:rFonts w:ascii="Calibri" w:hAnsi="Calibri" w:cs="Calibri"/>
          <w:lang w:val="fr-FR"/>
        </w:rPr>
      </w:pPr>
      <w:bookmarkStart w:id="4" w:name="_GoBack"/>
      <w:bookmarkEnd w:id="4"/>
    </w:p>
    <w:sectPr w:rsidR="000D5D26" w:rsidSect="00EF40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7528"/>
    <w:multiLevelType w:val="hybridMultilevel"/>
    <w:tmpl w:val="817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73128"/>
    <w:multiLevelType w:val="hybridMultilevel"/>
    <w:tmpl w:val="66880E94"/>
    <w:lvl w:ilvl="0" w:tplc="B5BEC4E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0F5965"/>
    <w:multiLevelType w:val="hybridMultilevel"/>
    <w:tmpl w:val="A0EC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76CE4"/>
    <w:multiLevelType w:val="hybridMultilevel"/>
    <w:tmpl w:val="8E58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D29E7"/>
    <w:multiLevelType w:val="hybridMultilevel"/>
    <w:tmpl w:val="5B1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B4B7D"/>
    <w:multiLevelType w:val="hybridMultilevel"/>
    <w:tmpl w:val="5AC2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B6FB4"/>
    <w:multiLevelType w:val="hybridMultilevel"/>
    <w:tmpl w:val="FA8C5400"/>
    <w:lvl w:ilvl="0" w:tplc="F5403E9A">
      <w:numFmt w:val="bullet"/>
      <w:lvlText w:val="-"/>
      <w:lvlJc w:val="left"/>
      <w:pPr>
        <w:ind w:left="468" w:hanging="360"/>
      </w:pPr>
      <w:rPr>
        <w:rFonts w:ascii="Times New Roman" w:eastAsia="Times New Roman" w:hAnsi="Times New Roman" w:cs="Times New Roman"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7">
    <w:nsid w:val="598C0606"/>
    <w:multiLevelType w:val="multilevel"/>
    <w:tmpl w:val="67F80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7B7121"/>
    <w:multiLevelType w:val="hybridMultilevel"/>
    <w:tmpl w:val="99140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1"/>
  </w:num>
  <w:num w:numId="6">
    <w:abstractNumId w:val="3"/>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6A4"/>
    <w:rsid w:val="00014A84"/>
    <w:rsid w:val="00075F63"/>
    <w:rsid w:val="000A5054"/>
    <w:rsid w:val="000D5D26"/>
    <w:rsid w:val="000D674D"/>
    <w:rsid w:val="000E2457"/>
    <w:rsid w:val="00103474"/>
    <w:rsid w:val="0017483C"/>
    <w:rsid w:val="001B5ED9"/>
    <w:rsid w:val="001E2A55"/>
    <w:rsid w:val="0023423A"/>
    <w:rsid w:val="002B4DF8"/>
    <w:rsid w:val="003C2C3F"/>
    <w:rsid w:val="00406B7E"/>
    <w:rsid w:val="004B4F7C"/>
    <w:rsid w:val="004D18FC"/>
    <w:rsid w:val="00535A1C"/>
    <w:rsid w:val="005968AE"/>
    <w:rsid w:val="005B2B0B"/>
    <w:rsid w:val="00640929"/>
    <w:rsid w:val="00643451"/>
    <w:rsid w:val="006A7B6B"/>
    <w:rsid w:val="006B5E30"/>
    <w:rsid w:val="00752ADE"/>
    <w:rsid w:val="007B5916"/>
    <w:rsid w:val="00844D7B"/>
    <w:rsid w:val="008730EC"/>
    <w:rsid w:val="00876492"/>
    <w:rsid w:val="008E67C5"/>
    <w:rsid w:val="00965DAD"/>
    <w:rsid w:val="00A00523"/>
    <w:rsid w:val="00A32EB3"/>
    <w:rsid w:val="00A62B9C"/>
    <w:rsid w:val="00B27DBA"/>
    <w:rsid w:val="00B876A4"/>
    <w:rsid w:val="00BA6CF9"/>
    <w:rsid w:val="00C078F0"/>
    <w:rsid w:val="00C14BD9"/>
    <w:rsid w:val="00C16D03"/>
    <w:rsid w:val="00C21EA0"/>
    <w:rsid w:val="00CF19A1"/>
    <w:rsid w:val="00D327B2"/>
    <w:rsid w:val="00D3709F"/>
    <w:rsid w:val="00DF1BBC"/>
    <w:rsid w:val="00E13284"/>
    <w:rsid w:val="00E95BA9"/>
    <w:rsid w:val="00EE14ED"/>
    <w:rsid w:val="00EF4068"/>
    <w:rsid w:val="00F55203"/>
    <w:rsid w:val="00FB21F3"/>
    <w:rsid w:val="00FE2BEC"/>
    <w:rsid w:val="00FF0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0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74"/>
    <w:pPr>
      <w:ind w:left="720"/>
      <w:contextualSpacing/>
    </w:pPr>
  </w:style>
  <w:style w:type="paragraph" w:styleId="BodyText2">
    <w:name w:val="Body Text 2"/>
    <w:basedOn w:val="Normal"/>
    <w:link w:val="BodyText2Char"/>
    <w:uiPriority w:val="99"/>
    <w:semiHidden/>
    <w:unhideWhenUsed/>
    <w:rsid w:val="00C078F0"/>
    <w:pPr>
      <w:spacing w:after="120" w:line="480" w:lineRule="auto"/>
    </w:pPr>
    <w:rPr>
      <w:rFonts w:ascii="Times New Roman" w:eastAsia="Times New Roman" w:hAnsi="Times New Roman" w:cs="Times New Roman"/>
      <w:sz w:val="24"/>
      <w:szCs w:val="24"/>
      <w:lang w:val="fr-FR"/>
    </w:rPr>
  </w:style>
  <w:style w:type="character" w:customStyle="1" w:styleId="BodyText2Char">
    <w:name w:val="Body Text 2 Char"/>
    <w:basedOn w:val="DefaultParagraphFont"/>
    <w:link w:val="BodyText2"/>
    <w:uiPriority w:val="99"/>
    <w:semiHidden/>
    <w:rsid w:val="00C078F0"/>
    <w:rPr>
      <w:rFonts w:ascii="Times New Roman" w:eastAsia="Times New Roman" w:hAnsi="Times New Roman" w:cs="Times New Roman"/>
      <w:sz w:val="24"/>
      <w:szCs w:val="24"/>
      <w:lang w:val="fr-FR"/>
    </w:rPr>
  </w:style>
  <w:style w:type="paragraph" w:styleId="NoSpacing">
    <w:name w:val="No Spacing"/>
    <w:link w:val="NoSpacingChar"/>
    <w:uiPriority w:val="1"/>
    <w:qFormat/>
    <w:rsid w:val="00C078F0"/>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C078F0"/>
    <w:rPr>
      <w:rFonts w:ascii="Times New Roman" w:eastAsia="MS Mincho"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474"/>
    <w:pPr>
      <w:ind w:left="720"/>
      <w:contextualSpacing/>
    </w:pPr>
  </w:style>
  <w:style w:type="paragraph" w:styleId="BodyText2">
    <w:name w:val="Body Text 2"/>
    <w:basedOn w:val="Normal"/>
    <w:link w:val="BodyText2Char"/>
    <w:uiPriority w:val="99"/>
    <w:semiHidden/>
    <w:unhideWhenUsed/>
    <w:rsid w:val="00C078F0"/>
    <w:pPr>
      <w:spacing w:after="120" w:line="480" w:lineRule="auto"/>
    </w:pPr>
    <w:rPr>
      <w:rFonts w:ascii="Times New Roman" w:eastAsia="Times New Roman" w:hAnsi="Times New Roman" w:cs="Times New Roman"/>
      <w:sz w:val="24"/>
      <w:szCs w:val="24"/>
      <w:lang w:val="fr-FR"/>
    </w:rPr>
  </w:style>
  <w:style w:type="character" w:customStyle="1" w:styleId="BodyText2Char">
    <w:name w:val="Body Text 2 Char"/>
    <w:basedOn w:val="DefaultParagraphFont"/>
    <w:link w:val="BodyText2"/>
    <w:uiPriority w:val="99"/>
    <w:semiHidden/>
    <w:rsid w:val="00C078F0"/>
    <w:rPr>
      <w:rFonts w:ascii="Times New Roman" w:eastAsia="Times New Roman" w:hAnsi="Times New Roman" w:cs="Times New Roman"/>
      <w:sz w:val="24"/>
      <w:szCs w:val="24"/>
      <w:lang w:val="fr-FR"/>
    </w:rPr>
  </w:style>
  <w:style w:type="paragraph" w:styleId="NoSpacing">
    <w:name w:val="No Spacing"/>
    <w:link w:val="NoSpacingChar"/>
    <w:uiPriority w:val="1"/>
    <w:qFormat/>
    <w:rsid w:val="00C078F0"/>
    <w:pPr>
      <w:spacing w:after="0" w:line="240" w:lineRule="auto"/>
      <w:jc w:val="both"/>
    </w:pPr>
    <w:rPr>
      <w:rFonts w:ascii="Times New Roman" w:eastAsia="MS Mincho" w:hAnsi="Times New Roman" w:cs="Times New Roman"/>
      <w:sz w:val="24"/>
      <w:szCs w:val="24"/>
      <w:lang w:val="fr-FR"/>
    </w:rPr>
  </w:style>
  <w:style w:type="character" w:customStyle="1" w:styleId="NoSpacingChar">
    <w:name w:val="No Spacing Char"/>
    <w:link w:val="NoSpacing"/>
    <w:uiPriority w:val="1"/>
    <w:rsid w:val="00C078F0"/>
    <w:rPr>
      <w:rFonts w:ascii="Times New Roman" w:eastAsia="MS Mincho" w:hAnsi="Times New Roman" w:cs="Times New Roman"/>
      <w:sz w:val="24"/>
      <w:szCs w:val="24"/>
      <w:lang w:val="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dc:creator>
  <cp:lastModifiedBy>ADMIN1</cp:lastModifiedBy>
  <cp:revision>4</cp:revision>
  <cp:lastPrinted>2019-08-29T18:23:00Z</cp:lastPrinted>
  <dcterms:created xsi:type="dcterms:W3CDTF">2019-08-30T15:21:00Z</dcterms:created>
  <dcterms:modified xsi:type="dcterms:W3CDTF">2019-09-10T17:13:00Z</dcterms:modified>
</cp:coreProperties>
</file>