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3F" w:rsidRPr="001C6CDF" w:rsidRDefault="0088433F" w:rsidP="0088433F">
      <w:pPr>
        <w:tabs>
          <w:tab w:val="left" w:pos="2820"/>
          <w:tab w:val="center" w:pos="4680"/>
        </w:tabs>
        <w:rPr>
          <w:noProof/>
          <w:sz w:val="20"/>
          <w:u w:val="single"/>
        </w:rPr>
      </w:pPr>
      <w:r w:rsidRPr="001C6CDF">
        <w:rPr>
          <w:noProof/>
          <w:sz w:val="20"/>
          <w:u w:val="single"/>
        </w:rPr>
        <w:drawing>
          <wp:anchor distT="0" distB="0" distL="114300" distR="114300" simplePos="0" relativeHeight="251658240" behindDoc="0" locked="0" layoutInCell="1" allowOverlap="1" wp14:anchorId="6843126D" wp14:editId="7026E066">
            <wp:simplePos x="0" y="0"/>
            <wp:positionH relativeFrom="margin">
              <wp:posOffset>2105025</wp:posOffset>
            </wp:positionH>
            <wp:positionV relativeFrom="paragraph">
              <wp:posOffset>0</wp:posOffset>
            </wp:positionV>
            <wp:extent cx="1476375" cy="688975"/>
            <wp:effectExtent l="0" t="0" r="9525" b="0"/>
            <wp:wrapSquare wrapText="bothSides"/>
            <wp:docPr id="3" name="Picture 3" descr="Logo UNFPA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FPA for W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3F" w:rsidRPr="001C6CDF" w:rsidRDefault="0088433F" w:rsidP="0088433F">
      <w:pPr>
        <w:tabs>
          <w:tab w:val="left" w:pos="2820"/>
          <w:tab w:val="center" w:pos="4680"/>
        </w:tabs>
        <w:rPr>
          <w:noProof/>
          <w:sz w:val="20"/>
          <w:u w:val="single"/>
        </w:rPr>
      </w:pPr>
    </w:p>
    <w:p w:rsidR="0088433F" w:rsidRPr="001C6CDF" w:rsidRDefault="0088433F" w:rsidP="0088433F">
      <w:pPr>
        <w:tabs>
          <w:tab w:val="left" w:pos="2820"/>
          <w:tab w:val="center" w:pos="4680"/>
        </w:tabs>
        <w:rPr>
          <w:sz w:val="20"/>
          <w:u w:val="single"/>
          <w:lang w:val="fr-FR"/>
        </w:rPr>
      </w:pPr>
    </w:p>
    <w:p w:rsidR="0088433F" w:rsidRPr="001C6CDF" w:rsidRDefault="001C6CDF" w:rsidP="00046AEA">
      <w:pPr>
        <w:tabs>
          <w:tab w:val="left" w:pos="2820"/>
          <w:tab w:val="center" w:pos="4680"/>
        </w:tabs>
        <w:jc w:val="center"/>
        <w:rPr>
          <w:sz w:val="44"/>
          <w:szCs w:val="48"/>
          <w:lang w:val="fr-FR"/>
        </w:rPr>
      </w:pPr>
      <w:r w:rsidRPr="001C6CDF">
        <w:rPr>
          <w:sz w:val="44"/>
          <w:szCs w:val="48"/>
          <w:lang w:val="fr-FR"/>
        </w:rPr>
        <w:t>Appel à candidatures</w:t>
      </w:r>
    </w:p>
    <w:p w:rsidR="001C6CDF" w:rsidRPr="001C6CDF" w:rsidRDefault="001C6CDF" w:rsidP="001C6CDF">
      <w:pPr>
        <w:pStyle w:val="Title"/>
        <w:pBdr>
          <w:bottom w:val="single" w:sz="4" w:space="1" w:color="auto"/>
        </w:pBdr>
        <w:rPr>
          <w:sz w:val="22"/>
          <w:lang w:val="fr-FR"/>
        </w:rPr>
      </w:pPr>
      <w:r w:rsidRPr="001C6CDF">
        <w:rPr>
          <w:sz w:val="22"/>
          <w:lang w:val="fr-FR"/>
        </w:rPr>
        <w:t>Consultation nationale pour un appui au bureau pays dans le cadre de la 25</w:t>
      </w:r>
      <w:r w:rsidRPr="001C6CDF">
        <w:rPr>
          <w:sz w:val="22"/>
          <w:vertAlign w:val="superscript"/>
          <w:lang w:val="fr-FR"/>
        </w:rPr>
        <w:t>e</w:t>
      </w:r>
      <w:r w:rsidRPr="001C6CDF">
        <w:rPr>
          <w:sz w:val="22"/>
          <w:lang w:val="fr-FR"/>
        </w:rPr>
        <w:t xml:space="preserve"> Conférence Internationale en Population et Développement (CIPD + 25)- 2</w:t>
      </w:r>
      <w:r w:rsidRPr="001C6CDF">
        <w:rPr>
          <w:sz w:val="22"/>
          <w:vertAlign w:val="superscript"/>
          <w:lang w:val="fr-FR"/>
        </w:rPr>
        <w:t>e</w:t>
      </w:r>
      <w:r w:rsidRPr="001C6CDF">
        <w:rPr>
          <w:sz w:val="22"/>
          <w:lang w:val="fr-FR"/>
        </w:rPr>
        <w:t xml:space="preserve"> phase</w:t>
      </w:r>
    </w:p>
    <w:p w:rsidR="005D682D" w:rsidRPr="001C6CDF" w:rsidRDefault="005D682D" w:rsidP="001C6CDF">
      <w:pPr>
        <w:tabs>
          <w:tab w:val="left" w:pos="2820"/>
          <w:tab w:val="center" w:pos="4680"/>
        </w:tabs>
        <w:jc w:val="both"/>
        <w:rPr>
          <w:b/>
          <w:sz w:val="24"/>
          <w:szCs w:val="24"/>
          <w:lang w:val="fr-FR"/>
        </w:rPr>
      </w:pPr>
      <w:r w:rsidRPr="001C6CDF">
        <w:rPr>
          <w:b/>
          <w:sz w:val="24"/>
          <w:szCs w:val="24"/>
          <w:lang w:val="fr-FR"/>
        </w:rPr>
        <w:t>Lieu </w:t>
      </w:r>
      <w:r w:rsidR="00D811E8" w:rsidRPr="001C6CDF">
        <w:rPr>
          <w:b/>
          <w:sz w:val="24"/>
          <w:szCs w:val="24"/>
          <w:lang w:val="fr-FR"/>
        </w:rPr>
        <w:tab/>
      </w:r>
      <w:r w:rsidRPr="001C6CDF">
        <w:rPr>
          <w:b/>
          <w:sz w:val="24"/>
          <w:szCs w:val="24"/>
          <w:lang w:val="fr-FR"/>
        </w:rPr>
        <w:t>: Port-au-Prince</w:t>
      </w:r>
    </w:p>
    <w:p w:rsidR="005D682D" w:rsidRPr="001C6CDF" w:rsidRDefault="005D682D" w:rsidP="001C6CDF">
      <w:pPr>
        <w:tabs>
          <w:tab w:val="left" w:pos="2820"/>
          <w:tab w:val="center" w:pos="4680"/>
        </w:tabs>
        <w:jc w:val="both"/>
        <w:rPr>
          <w:b/>
          <w:sz w:val="24"/>
          <w:szCs w:val="24"/>
          <w:lang w:val="fr-FR"/>
        </w:rPr>
      </w:pPr>
      <w:r w:rsidRPr="001C6CDF">
        <w:rPr>
          <w:b/>
          <w:sz w:val="24"/>
          <w:szCs w:val="24"/>
          <w:lang w:val="fr-FR"/>
        </w:rPr>
        <w:t>Durée </w:t>
      </w:r>
      <w:r w:rsidR="00D811E8" w:rsidRPr="001C6CDF">
        <w:rPr>
          <w:b/>
          <w:sz w:val="24"/>
          <w:szCs w:val="24"/>
          <w:lang w:val="fr-FR"/>
        </w:rPr>
        <w:tab/>
      </w:r>
      <w:r w:rsidRPr="001C6CDF">
        <w:rPr>
          <w:b/>
          <w:sz w:val="24"/>
          <w:szCs w:val="24"/>
          <w:lang w:val="fr-FR"/>
        </w:rPr>
        <w:t xml:space="preserve">: </w:t>
      </w:r>
      <w:r w:rsidR="001C6CDF" w:rsidRPr="001C6CDF">
        <w:rPr>
          <w:b/>
          <w:sz w:val="24"/>
          <w:szCs w:val="24"/>
          <w:lang w:val="fr-FR"/>
        </w:rPr>
        <w:t>5 mois</w:t>
      </w:r>
    </w:p>
    <w:p w:rsidR="00B52E77" w:rsidRPr="001C6CDF" w:rsidRDefault="005D682D" w:rsidP="001C6CDF">
      <w:pPr>
        <w:pBdr>
          <w:bottom w:val="single" w:sz="4" w:space="1" w:color="auto"/>
        </w:pBdr>
        <w:tabs>
          <w:tab w:val="left" w:pos="2820"/>
          <w:tab w:val="center" w:pos="4680"/>
        </w:tabs>
        <w:jc w:val="both"/>
        <w:rPr>
          <w:b/>
          <w:sz w:val="24"/>
          <w:szCs w:val="24"/>
          <w:lang w:val="fr-FR"/>
        </w:rPr>
      </w:pPr>
      <w:r w:rsidRPr="001C6CDF">
        <w:rPr>
          <w:b/>
          <w:sz w:val="24"/>
          <w:szCs w:val="24"/>
          <w:lang w:val="fr-FR"/>
        </w:rPr>
        <w:t>Type de contrat </w:t>
      </w:r>
      <w:r w:rsidR="00D811E8" w:rsidRPr="001C6CDF">
        <w:rPr>
          <w:b/>
          <w:sz w:val="24"/>
          <w:szCs w:val="24"/>
          <w:lang w:val="fr-FR"/>
        </w:rPr>
        <w:tab/>
      </w:r>
      <w:r w:rsidRPr="001C6CDF">
        <w:rPr>
          <w:b/>
          <w:sz w:val="24"/>
          <w:szCs w:val="24"/>
          <w:lang w:val="fr-FR"/>
        </w:rPr>
        <w:t>:</w:t>
      </w:r>
      <w:r w:rsidR="00D811E8" w:rsidRPr="001C6CDF">
        <w:rPr>
          <w:b/>
          <w:sz w:val="24"/>
          <w:szCs w:val="24"/>
          <w:lang w:val="fr-FR"/>
        </w:rPr>
        <w:t xml:space="preserve"> </w:t>
      </w:r>
      <w:r w:rsidR="001C6CDF" w:rsidRPr="001C6CDF">
        <w:rPr>
          <w:b/>
          <w:sz w:val="24"/>
          <w:szCs w:val="24"/>
          <w:lang w:val="fr-FR"/>
        </w:rPr>
        <w:t>Consultant Individuel</w:t>
      </w:r>
    </w:p>
    <w:p w:rsidR="001C6CDF" w:rsidRDefault="001C6CDF" w:rsidP="001C6CDF">
      <w:pPr>
        <w:pStyle w:val="NormalWeb"/>
        <w:spacing w:before="0" w:beforeAutospacing="0" w:after="0" w:afterAutospacing="0"/>
        <w:jc w:val="both"/>
        <w:textAlignment w:val="baseline"/>
        <w:rPr>
          <w:rFonts w:asciiTheme="minorHAnsi" w:hAnsiTheme="minorHAnsi" w:cs="Arial"/>
          <w:lang w:val="fr-FR"/>
        </w:rPr>
      </w:pPr>
      <w:r w:rsidRPr="001C6CDF">
        <w:rPr>
          <w:rFonts w:asciiTheme="minorHAnsi" w:hAnsiTheme="minorHAnsi" w:cs="Arial"/>
          <w:b/>
          <w:lang w:val="fr-FR"/>
        </w:rPr>
        <w:t>Contexte :</w:t>
      </w:r>
      <w:r w:rsidRPr="001C6CDF">
        <w:rPr>
          <w:rFonts w:asciiTheme="minorHAnsi" w:hAnsiTheme="minorHAnsi" w:cs="Arial"/>
          <w:lang w:val="fr-FR"/>
        </w:rPr>
        <w:t xml:space="preserve"> 25 ans après l’engagement de 179 pays, dont Haïti, dans un plan pour améliorer la santé de la reproduction et considérer d’autres aspects de Population et Développement dans le monde entier, l’heure est au bilan. Le plan adopté lors de la Conférence internationale sur la population et le développement (CIPD) qui s’est déroulée au Caire en 1994 avait demandé une intégration de la planification familiale au sein d’une série plus complète de services de santé sexuelle et reproductive dans l’objectif de continuer à améliorer la santé maternelle et infantile ainsi que les conditions de vie des femmes, en tenant compte de leurs droits, en plus de prévenir le VIH et les autres infections sexuellement transmises (IST).</w:t>
      </w:r>
    </w:p>
    <w:p w:rsidR="001C6CDF" w:rsidRPr="001C6CDF" w:rsidRDefault="001C6CDF" w:rsidP="001C6CDF">
      <w:pPr>
        <w:pStyle w:val="NormalWeb"/>
        <w:spacing w:before="0" w:beforeAutospacing="0" w:after="0" w:afterAutospacing="0"/>
        <w:jc w:val="both"/>
        <w:textAlignment w:val="baseline"/>
        <w:rPr>
          <w:rFonts w:asciiTheme="minorHAnsi" w:hAnsiTheme="minorHAnsi" w:cs="Arial"/>
          <w:lang w:val="fr-FR"/>
        </w:rPr>
      </w:pPr>
      <w:r w:rsidRPr="001C6CDF">
        <w:rPr>
          <w:rFonts w:asciiTheme="minorHAnsi" w:hAnsiTheme="minorHAnsi" w:cs="Arial"/>
          <w:lang w:val="fr-FR"/>
        </w:rPr>
        <w:t>Dans ce contexte, tenant compte des préparatifs dans le cadre de la 25</w:t>
      </w:r>
      <w:r w:rsidRPr="001C6CDF">
        <w:rPr>
          <w:rFonts w:asciiTheme="minorHAnsi" w:hAnsiTheme="minorHAnsi" w:cs="Arial"/>
          <w:vertAlign w:val="superscript"/>
          <w:lang w:val="fr-FR"/>
        </w:rPr>
        <w:t>e</w:t>
      </w:r>
      <w:r w:rsidRPr="001C6CDF">
        <w:rPr>
          <w:rFonts w:asciiTheme="minorHAnsi" w:hAnsiTheme="minorHAnsi" w:cs="Arial"/>
          <w:lang w:val="fr-FR"/>
        </w:rPr>
        <w:t xml:space="preserve"> Conférence Internationale en Population et Développement (CIPD +25) qui se tiendra du 13 au 15 novembre 2019, à Nairobi, au Kenya, le bureau pays du Fonds des Nations Unies pour la Population, en Haïti recrute un consultant national pour apporter un appui technique en vue de l’élaboration du rapport national sur l'examen et l'évaluation de la mise en œuvre du programme d'action de la conférence internationale sur la population et le développement (CIPD).</w:t>
      </w:r>
    </w:p>
    <w:p w:rsidR="001C6CDF" w:rsidRPr="001C6CDF" w:rsidRDefault="001C6CDF" w:rsidP="001C6CDF">
      <w:pPr>
        <w:pStyle w:val="NormalWeb"/>
        <w:spacing w:line="276" w:lineRule="auto"/>
        <w:jc w:val="both"/>
        <w:textAlignment w:val="baseline"/>
        <w:rPr>
          <w:rFonts w:asciiTheme="minorHAnsi" w:hAnsiTheme="minorHAnsi" w:cs="Arial"/>
          <w:b/>
          <w:lang w:val="fr-FR"/>
        </w:rPr>
      </w:pPr>
      <w:r w:rsidRPr="001C6CDF">
        <w:rPr>
          <w:rFonts w:asciiTheme="minorHAnsi" w:hAnsiTheme="minorHAnsi" w:cs="Arial"/>
          <w:b/>
          <w:lang w:val="fr-FR"/>
        </w:rPr>
        <w:t xml:space="preserve">Objectif de la consultation : </w:t>
      </w:r>
      <w:r w:rsidRPr="001C6CDF">
        <w:rPr>
          <w:rFonts w:asciiTheme="minorHAnsi" w:hAnsiTheme="minorHAnsi" w:cs="Arial"/>
          <w:lang w:val="fr-FR"/>
        </w:rPr>
        <w:t>L’objectif global de cette consultation est de pouvoir accompagner le Gouvernement d’Haïti dans sa préparation et sa participation au sommet mondial sur le 25</w:t>
      </w:r>
      <w:r w:rsidRPr="001C6CDF">
        <w:rPr>
          <w:rFonts w:asciiTheme="minorHAnsi" w:hAnsiTheme="minorHAnsi" w:cs="Arial"/>
          <w:vertAlign w:val="superscript"/>
          <w:lang w:val="fr-FR"/>
        </w:rPr>
        <w:t xml:space="preserve">e </w:t>
      </w:r>
      <w:r w:rsidRPr="001C6CDF">
        <w:rPr>
          <w:rFonts w:asciiTheme="minorHAnsi" w:hAnsiTheme="minorHAnsi" w:cs="Arial"/>
          <w:lang w:val="fr-FR"/>
        </w:rPr>
        <w:t>anniversaire de la Conférence Internationale en Population et Développement, intitulé : « </w:t>
      </w:r>
      <w:r w:rsidRPr="001C6CDF">
        <w:rPr>
          <w:rFonts w:asciiTheme="minorHAnsi" w:hAnsiTheme="minorHAnsi" w:cs="Arial"/>
          <w:b/>
          <w:lang w:val="fr-FR"/>
        </w:rPr>
        <w:t>The Nairobi Summit on ICPD25 : Accelerating the promise</w:t>
      </w:r>
      <w:r w:rsidRPr="001C6CDF">
        <w:rPr>
          <w:rFonts w:asciiTheme="minorHAnsi" w:hAnsiTheme="minorHAnsi" w:cs="Arial"/>
          <w:lang w:val="fr-FR"/>
        </w:rPr>
        <w:t> »</w:t>
      </w:r>
    </w:p>
    <w:p w:rsidR="00FA4A62" w:rsidRPr="001C6CDF" w:rsidRDefault="001C6CDF" w:rsidP="001C6CDF">
      <w:pPr>
        <w:tabs>
          <w:tab w:val="left" w:pos="-720"/>
        </w:tabs>
        <w:suppressAutoHyphens/>
        <w:spacing w:before="40" w:after="54" w:line="276" w:lineRule="auto"/>
        <w:jc w:val="both"/>
        <w:rPr>
          <w:rFonts w:cs="Arial"/>
          <w:sz w:val="24"/>
          <w:szCs w:val="24"/>
          <w:lang w:val="fr-FR"/>
        </w:rPr>
      </w:pPr>
      <w:r w:rsidRPr="001C6CDF">
        <w:rPr>
          <w:rFonts w:cs="Arial"/>
          <w:b/>
          <w:sz w:val="24"/>
          <w:szCs w:val="24"/>
          <w:lang w:val="fr-FR"/>
        </w:rPr>
        <w:t>Durée du contrat</w:t>
      </w:r>
      <w:r w:rsidRPr="001C6CDF">
        <w:rPr>
          <w:rFonts w:cs="Arial"/>
          <w:sz w:val="24"/>
          <w:szCs w:val="24"/>
          <w:lang w:val="fr-FR"/>
        </w:rPr>
        <w:t xml:space="preserve"> : </w:t>
      </w:r>
      <w:r w:rsidR="00FA4A62" w:rsidRPr="001C6CDF">
        <w:rPr>
          <w:rFonts w:cs="Arial"/>
          <w:sz w:val="24"/>
          <w:szCs w:val="24"/>
          <w:lang w:val="fr-FR"/>
        </w:rPr>
        <w:t xml:space="preserve">La durée totale de </w:t>
      </w:r>
      <w:r w:rsidRPr="001C6CDF">
        <w:rPr>
          <w:rFonts w:cs="Arial"/>
          <w:sz w:val="24"/>
          <w:szCs w:val="24"/>
          <w:lang w:val="fr-FR"/>
        </w:rPr>
        <w:t xml:space="preserve">la consultation est de cinq (5) mois non-renouvelable. </w:t>
      </w:r>
    </w:p>
    <w:p w:rsidR="00046AEA" w:rsidRPr="001C6CDF" w:rsidRDefault="00046AEA" w:rsidP="001C6CDF">
      <w:pPr>
        <w:tabs>
          <w:tab w:val="left" w:pos="-720"/>
        </w:tabs>
        <w:suppressAutoHyphens/>
        <w:spacing w:before="40" w:after="54" w:line="276" w:lineRule="auto"/>
        <w:jc w:val="both"/>
        <w:rPr>
          <w:rFonts w:cs="Arial"/>
          <w:sz w:val="24"/>
          <w:szCs w:val="24"/>
          <w:lang w:val="fr-FR"/>
        </w:rPr>
      </w:pPr>
      <w:r w:rsidRPr="001C6CDF">
        <w:rPr>
          <w:rFonts w:cs="Arial"/>
          <w:sz w:val="24"/>
          <w:szCs w:val="24"/>
          <w:lang w:val="fr-FR"/>
        </w:rPr>
        <w:t xml:space="preserve">Les consultants individuels qui sont intéressés par cet appel </w:t>
      </w:r>
      <w:r w:rsidR="001C6CDF" w:rsidRPr="001C6CDF">
        <w:rPr>
          <w:rFonts w:cs="Arial"/>
          <w:sz w:val="24"/>
          <w:szCs w:val="24"/>
          <w:lang w:val="fr-FR"/>
        </w:rPr>
        <w:t>à candidatures</w:t>
      </w:r>
      <w:r w:rsidRPr="001C6CDF">
        <w:rPr>
          <w:rFonts w:cs="Arial"/>
          <w:sz w:val="24"/>
          <w:szCs w:val="24"/>
          <w:lang w:val="fr-FR"/>
        </w:rPr>
        <w:t xml:space="preserve">, peuvent se rendre sur le site </w:t>
      </w:r>
      <w:hyperlink r:id="rId8" w:history="1">
        <w:r w:rsidR="00902BD4" w:rsidRPr="001C6CDF">
          <w:rPr>
            <w:rStyle w:val="Hyperlink"/>
            <w:rFonts w:cs="Arial"/>
            <w:sz w:val="24"/>
            <w:szCs w:val="24"/>
            <w:lang w:val="fr-FR"/>
          </w:rPr>
          <w:t>haiti.unfpa.org</w:t>
        </w:r>
      </w:hyperlink>
      <w:r w:rsidRPr="001C6CDF">
        <w:rPr>
          <w:rFonts w:cs="Arial"/>
          <w:sz w:val="24"/>
          <w:szCs w:val="24"/>
          <w:lang w:val="fr-FR"/>
        </w:rPr>
        <w:t xml:space="preserve"> afin de télécharger les Termes de référence y relatifs</w:t>
      </w:r>
      <w:r w:rsidR="00D33F4F" w:rsidRPr="001C6CDF">
        <w:rPr>
          <w:rFonts w:cs="Arial"/>
          <w:sz w:val="24"/>
          <w:szCs w:val="24"/>
          <w:lang w:val="fr-FR"/>
        </w:rPr>
        <w:t>.</w:t>
      </w:r>
    </w:p>
    <w:p w:rsidR="004063C8" w:rsidRPr="001C6CDF" w:rsidRDefault="004063C8" w:rsidP="001C6CDF">
      <w:pPr>
        <w:spacing w:after="200" w:line="276" w:lineRule="auto"/>
        <w:ind w:right="144"/>
        <w:jc w:val="both"/>
        <w:rPr>
          <w:rFonts w:eastAsia="MS Mincho" w:cs="Times New Roman"/>
          <w:b/>
          <w:sz w:val="24"/>
          <w:szCs w:val="24"/>
          <w:lang w:val="fr-FR"/>
        </w:rPr>
      </w:pPr>
      <w:r w:rsidRPr="001C6CDF">
        <w:rPr>
          <w:rFonts w:eastAsia="MS Mincho" w:cs="Times New Roman"/>
          <w:sz w:val="24"/>
          <w:szCs w:val="24"/>
          <w:lang w:val="fr-FR"/>
        </w:rPr>
        <w:t xml:space="preserve">Le délai pour le dépôt des propositions par </w:t>
      </w:r>
      <w:r w:rsidR="001C6CDF" w:rsidRPr="001C6CDF">
        <w:rPr>
          <w:rFonts w:eastAsia="MS Mincho" w:cs="Times New Roman"/>
          <w:sz w:val="24"/>
          <w:szCs w:val="24"/>
          <w:lang w:val="fr-FR"/>
        </w:rPr>
        <w:t xml:space="preserve">e-mail, à </w:t>
      </w:r>
      <w:hyperlink r:id="rId9" w:history="1">
        <w:r w:rsidR="001B70FA" w:rsidRPr="00F03B25">
          <w:rPr>
            <w:rStyle w:val="Hyperlink"/>
            <w:rFonts w:eastAsia="MS Mincho" w:cs="Times New Roman"/>
            <w:sz w:val="24"/>
            <w:szCs w:val="24"/>
            <w:lang w:val="fr-FR"/>
          </w:rPr>
          <w:t>haiti.office@unfpa.org</w:t>
        </w:r>
      </w:hyperlink>
      <w:r w:rsidR="001B70FA">
        <w:rPr>
          <w:rFonts w:eastAsia="MS Mincho" w:cs="Times New Roman"/>
          <w:sz w:val="24"/>
          <w:szCs w:val="24"/>
          <w:lang w:val="fr-FR"/>
        </w:rPr>
        <w:t xml:space="preserve"> </w:t>
      </w:r>
      <w:r w:rsidR="00FA4A62" w:rsidRPr="001C6CDF">
        <w:rPr>
          <w:rFonts w:eastAsia="MS Mincho" w:cs="Times New Roman"/>
          <w:color w:val="000000"/>
          <w:sz w:val="24"/>
          <w:szCs w:val="24"/>
          <w:lang w:val="fr-FR"/>
        </w:rPr>
        <w:t xml:space="preserve">est fixé au </w:t>
      </w:r>
      <w:r w:rsidR="007431BE" w:rsidRPr="001C6CDF">
        <w:rPr>
          <w:rFonts w:eastAsia="MS Mincho" w:cs="Times New Roman"/>
          <w:color w:val="000000"/>
          <w:sz w:val="24"/>
          <w:szCs w:val="24"/>
          <w:lang w:val="fr-FR"/>
        </w:rPr>
        <w:t>Vendredi</w:t>
      </w:r>
      <w:r w:rsidR="001C6CDF">
        <w:rPr>
          <w:rFonts w:eastAsia="MS Mincho" w:cs="Times New Roman"/>
          <w:color w:val="000000"/>
          <w:sz w:val="24"/>
          <w:szCs w:val="24"/>
          <w:lang w:val="fr-FR"/>
        </w:rPr>
        <w:t xml:space="preserve"> 1</w:t>
      </w:r>
      <w:r w:rsidR="009B4FCE">
        <w:rPr>
          <w:rFonts w:eastAsia="MS Mincho" w:cs="Times New Roman"/>
          <w:color w:val="000000"/>
          <w:sz w:val="24"/>
          <w:szCs w:val="24"/>
          <w:lang w:val="fr-FR"/>
        </w:rPr>
        <w:t>2 juillet</w:t>
      </w:r>
      <w:r w:rsidR="001C6CDF">
        <w:rPr>
          <w:rFonts w:eastAsia="MS Mincho" w:cs="Times New Roman"/>
          <w:color w:val="000000"/>
          <w:sz w:val="24"/>
          <w:szCs w:val="24"/>
          <w:lang w:val="fr-FR"/>
        </w:rPr>
        <w:t xml:space="preserve"> 2019</w:t>
      </w:r>
      <w:r w:rsidR="00FA4A62" w:rsidRPr="001C6CDF">
        <w:rPr>
          <w:rFonts w:eastAsia="MS Mincho" w:cs="Times New Roman"/>
          <w:color w:val="000000"/>
          <w:sz w:val="24"/>
          <w:szCs w:val="24"/>
          <w:lang w:val="fr-FR"/>
        </w:rPr>
        <w:t xml:space="preserve">, à </w:t>
      </w:r>
      <w:r w:rsidR="001C6CDF" w:rsidRPr="001C6CDF">
        <w:rPr>
          <w:rFonts w:eastAsia="MS Mincho" w:cs="Times New Roman"/>
          <w:color w:val="000000"/>
          <w:sz w:val="24"/>
          <w:szCs w:val="24"/>
          <w:lang w:val="fr-FR"/>
        </w:rPr>
        <w:t>11 :59 p</w:t>
      </w:r>
      <w:r w:rsidR="00801D0F">
        <w:rPr>
          <w:rFonts w:eastAsia="MS Mincho" w:cs="Times New Roman"/>
          <w:color w:val="000000"/>
          <w:sz w:val="24"/>
          <w:szCs w:val="24"/>
          <w:lang w:val="fr-FR"/>
        </w:rPr>
        <w:t>m</w:t>
      </w:r>
      <w:r w:rsidR="001C6CDF" w:rsidRPr="001C6CDF">
        <w:rPr>
          <w:rFonts w:eastAsia="MS Mincho" w:cs="Times New Roman"/>
          <w:color w:val="000000"/>
          <w:sz w:val="24"/>
          <w:szCs w:val="24"/>
          <w:lang w:val="fr-FR"/>
        </w:rPr>
        <w:t xml:space="preserve"> (heure de Port-au-Prince)</w:t>
      </w:r>
    </w:p>
    <w:p w:rsidR="004063C8" w:rsidRPr="001C6CDF" w:rsidRDefault="004063C8" w:rsidP="00D811E8">
      <w:pPr>
        <w:jc w:val="both"/>
        <w:rPr>
          <w:sz w:val="20"/>
          <w:lang w:val="fr-FR"/>
        </w:rPr>
      </w:pPr>
      <w:bookmarkStart w:id="0" w:name="_GoBack"/>
      <w:bookmarkEnd w:id="0"/>
    </w:p>
    <w:sectPr w:rsidR="004063C8" w:rsidRPr="001C6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E5" w:rsidRDefault="001B44E5" w:rsidP="0088433F">
      <w:pPr>
        <w:spacing w:after="0" w:line="240" w:lineRule="auto"/>
      </w:pPr>
      <w:r>
        <w:separator/>
      </w:r>
    </w:p>
  </w:endnote>
  <w:endnote w:type="continuationSeparator" w:id="0">
    <w:p w:rsidR="001B44E5" w:rsidRDefault="001B44E5" w:rsidP="0088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E5" w:rsidRDefault="001B44E5" w:rsidP="0088433F">
      <w:pPr>
        <w:spacing w:after="0" w:line="240" w:lineRule="auto"/>
      </w:pPr>
      <w:r>
        <w:separator/>
      </w:r>
    </w:p>
  </w:footnote>
  <w:footnote w:type="continuationSeparator" w:id="0">
    <w:p w:rsidR="001B44E5" w:rsidRDefault="001B44E5" w:rsidP="00884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C1F"/>
    <w:multiLevelType w:val="hybridMultilevel"/>
    <w:tmpl w:val="6B0AD7A2"/>
    <w:lvl w:ilvl="0" w:tplc="2409000B">
      <w:start w:val="1"/>
      <w:numFmt w:val="bullet"/>
      <w:lvlText w:val=""/>
      <w:lvlJc w:val="left"/>
      <w:pPr>
        <w:ind w:left="360" w:hanging="360"/>
      </w:pPr>
      <w:rPr>
        <w:rFonts w:ascii="Wingdings" w:hAnsi="Wingdings"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1" w15:restartNumberingAfterBreak="0">
    <w:nsid w:val="104D13ED"/>
    <w:multiLevelType w:val="hybridMultilevel"/>
    <w:tmpl w:val="FBE670B6"/>
    <w:lvl w:ilvl="0" w:tplc="303A6E7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22E9B"/>
    <w:multiLevelType w:val="hybridMultilevel"/>
    <w:tmpl w:val="53789612"/>
    <w:lvl w:ilvl="0" w:tplc="2409000B">
      <w:start w:val="1"/>
      <w:numFmt w:val="bullet"/>
      <w:lvlText w:val=""/>
      <w:lvlJc w:val="left"/>
      <w:pPr>
        <w:ind w:left="360" w:hanging="360"/>
      </w:pPr>
      <w:rPr>
        <w:rFonts w:ascii="Wingdings" w:hAnsi="Wingdings"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3" w15:restartNumberingAfterBreak="0">
    <w:nsid w:val="74D8654A"/>
    <w:multiLevelType w:val="hybridMultilevel"/>
    <w:tmpl w:val="DC80CF54"/>
    <w:lvl w:ilvl="0" w:tplc="2409000F">
      <w:start w:val="1"/>
      <w:numFmt w:val="decimal"/>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4" w15:restartNumberingAfterBreak="0">
    <w:nsid w:val="75493463"/>
    <w:multiLevelType w:val="hybridMultilevel"/>
    <w:tmpl w:val="143C96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77"/>
    <w:rsid w:val="00046AEA"/>
    <w:rsid w:val="0008307C"/>
    <w:rsid w:val="000D5333"/>
    <w:rsid w:val="0012762A"/>
    <w:rsid w:val="001328C0"/>
    <w:rsid w:val="00197E8A"/>
    <w:rsid w:val="001B44E5"/>
    <w:rsid w:val="001B70FA"/>
    <w:rsid w:val="001C6CDF"/>
    <w:rsid w:val="0023095C"/>
    <w:rsid w:val="00284513"/>
    <w:rsid w:val="00291CD5"/>
    <w:rsid w:val="002E6971"/>
    <w:rsid w:val="0034150E"/>
    <w:rsid w:val="004063C8"/>
    <w:rsid w:val="004E4707"/>
    <w:rsid w:val="004E7A59"/>
    <w:rsid w:val="00551B5C"/>
    <w:rsid w:val="005675D1"/>
    <w:rsid w:val="005D682D"/>
    <w:rsid w:val="005E09B7"/>
    <w:rsid w:val="005F56F6"/>
    <w:rsid w:val="00645442"/>
    <w:rsid w:val="007431BE"/>
    <w:rsid w:val="00756372"/>
    <w:rsid w:val="00782C14"/>
    <w:rsid w:val="00801D0F"/>
    <w:rsid w:val="0088433F"/>
    <w:rsid w:val="00902BD4"/>
    <w:rsid w:val="00906C5C"/>
    <w:rsid w:val="009342E3"/>
    <w:rsid w:val="009B4FCE"/>
    <w:rsid w:val="009D2E5B"/>
    <w:rsid w:val="009E2130"/>
    <w:rsid w:val="00A0539F"/>
    <w:rsid w:val="00A05936"/>
    <w:rsid w:val="00A067A3"/>
    <w:rsid w:val="00A90902"/>
    <w:rsid w:val="00A94E2C"/>
    <w:rsid w:val="00AE262A"/>
    <w:rsid w:val="00B52E77"/>
    <w:rsid w:val="00B554DD"/>
    <w:rsid w:val="00B748E0"/>
    <w:rsid w:val="00BE53C1"/>
    <w:rsid w:val="00C02F27"/>
    <w:rsid w:val="00C27821"/>
    <w:rsid w:val="00C65241"/>
    <w:rsid w:val="00C71924"/>
    <w:rsid w:val="00D215B9"/>
    <w:rsid w:val="00D33F4F"/>
    <w:rsid w:val="00D811E8"/>
    <w:rsid w:val="00E52294"/>
    <w:rsid w:val="00E533A1"/>
    <w:rsid w:val="00E622B9"/>
    <w:rsid w:val="00E84E32"/>
    <w:rsid w:val="00E94B04"/>
    <w:rsid w:val="00EA19C9"/>
    <w:rsid w:val="00FA4A62"/>
    <w:rsid w:val="00FB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76462-8F16-4E4F-A285-77BD930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E77"/>
    <w:pPr>
      <w:ind w:left="720"/>
      <w:contextualSpacing/>
    </w:pPr>
  </w:style>
  <w:style w:type="paragraph" w:styleId="Header">
    <w:name w:val="header"/>
    <w:basedOn w:val="Normal"/>
    <w:link w:val="HeaderChar"/>
    <w:uiPriority w:val="99"/>
    <w:unhideWhenUsed/>
    <w:rsid w:val="0088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33F"/>
  </w:style>
  <w:style w:type="paragraph" w:styleId="Footer">
    <w:name w:val="footer"/>
    <w:basedOn w:val="Normal"/>
    <w:link w:val="FooterChar"/>
    <w:uiPriority w:val="99"/>
    <w:unhideWhenUsed/>
    <w:rsid w:val="0088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3F"/>
  </w:style>
  <w:style w:type="paragraph" w:styleId="BalloonText">
    <w:name w:val="Balloon Text"/>
    <w:basedOn w:val="Normal"/>
    <w:link w:val="BalloonTextChar"/>
    <w:uiPriority w:val="99"/>
    <w:semiHidden/>
    <w:unhideWhenUsed/>
    <w:rsid w:val="00E62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B9"/>
    <w:rPr>
      <w:rFonts w:ascii="Segoe UI" w:hAnsi="Segoe UI" w:cs="Segoe UI"/>
      <w:sz w:val="18"/>
      <w:szCs w:val="18"/>
    </w:rPr>
  </w:style>
  <w:style w:type="paragraph" w:styleId="CommentText">
    <w:name w:val="annotation text"/>
    <w:basedOn w:val="Normal"/>
    <w:link w:val="CommentTextChar"/>
    <w:semiHidden/>
    <w:unhideWhenUsed/>
    <w:rsid w:val="00E84E32"/>
    <w:pPr>
      <w:spacing w:after="0" w:line="240" w:lineRule="auto"/>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E84E32"/>
    <w:rPr>
      <w:rFonts w:ascii="Times New Roman" w:eastAsia="Times New Roman" w:hAnsi="Times New Roman" w:cs="Times New Roman"/>
      <w:sz w:val="20"/>
      <w:szCs w:val="20"/>
      <w:lang w:val="fr-FR"/>
    </w:rPr>
  </w:style>
  <w:style w:type="character" w:styleId="Hyperlink">
    <w:name w:val="Hyperlink"/>
    <w:basedOn w:val="DefaultParagraphFont"/>
    <w:uiPriority w:val="99"/>
    <w:unhideWhenUsed/>
    <w:rsid w:val="00046AEA"/>
    <w:rPr>
      <w:color w:val="0563C1" w:themeColor="hyperlink"/>
      <w:u w:val="single"/>
    </w:rPr>
  </w:style>
  <w:style w:type="paragraph" w:styleId="NormalWeb">
    <w:name w:val="Normal (Web)"/>
    <w:basedOn w:val="Normal"/>
    <w:uiPriority w:val="99"/>
    <w:rsid w:val="001C6CD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harCharCharCharCharCharChar">
    <w:name w:val="Char Char Char Char Char Char Char"/>
    <w:basedOn w:val="Normal"/>
    <w:rsid w:val="001C6CDF"/>
    <w:pPr>
      <w:spacing w:before="120" w:line="240" w:lineRule="exact"/>
    </w:pPr>
    <w:rPr>
      <w:rFonts w:ascii="Verdana" w:eastAsia="Times New Roman" w:hAnsi="Verdana" w:cs="Arial"/>
      <w:sz w:val="20"/>
      <w:szCs w:val="20"/>
    </w:rPr>
  </w:style>
  <w:style w:type="paragraph" w:styleId="Title">
    <w:name w:val="Title"/>
    <w:basedOn w:val="Normal"/>
    <w:link w:val="TitleChar"/>
    <w:uiPriority w:val="10"/>
    <w:qFormat/>
    <w:rsid w:val="001C6CDF"/>
    <w:pPr>
      <w:autoSpaceDE w:val="0"/>
      <w:autoSpaceDN w:val="0"/>
      <w:spacing w:after="240" w:line="240" w:lineRule="auto"/>
      <w:jc w:val="center"/>
    </w:pPr>
    <w:rPr>
      <w:rFonts w:ascii="Arial" w:eastAsia="Times New Roman" w:hAnsi="Arial" w:cs="Arial"/>
      <w:b/>
      <w:bCs/>
      <w:spacing w:val="-2"/>
      <w:sz w:val="24"/>
      <w:szCs w:val="24"/>
      <w:lang w:val="es-MX" w:eastAsia="es-ES"/>
    </w:rPr>
  </w:style>
  <w:style w:type="character" w:customStyle="1" w:styleId="TitleChar">
    <w:name w:val="Title Char"/>
    <w:basedOn w:val="DefaultParagraphFont"/>
    <w:link w:val="Title"/>
    <w:uiPriority w:val="10"/>
    <w:rsid w:val="001C6CDF"/>
    <w:rPr>
      <w:rFonts w:ascii="Arial" w:eastAsia="Times New Roman" w:hAnsi="Arial" w:cs="Arial"/>
      <w:b/>
      <w:bCs/>
      <w:spacing w:val="-2"/>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1596">
      <w:bodyDiv w:val="1"/>
      <w:marLeft w:val="0"/>
      <w:marRight w:val="0"/>
      <w:marTop w:val="0"/>
      <w:marBottom w:val="0"/>
      <w:divBdr>
        <w:top w:val="none" w:sz="0" w:space="0" w:color="auto"/>
        <w:left w:val="none" w:sz="0" w:space="0" w:color="auto"/>
        <w:bottom w:val="none" w:sz="0" w:space="0" w:color="auto"/>
        <w:right w:val="none" w:sz="0" w:space="0" w:color="auto"/>
      </w:divBdr>
    </w:div>
    <w:div w:id="1180119786">
      <w:bodyDiv w:val="1"/>
      <w:marLeft w:val="0"/>
      <w:marRight w:val="0"/>
      <w:marTop w:val="0"/>
      <w:marBottom w:val="0"/>
      <w:divBdr>
        <w:top w:val="none" w:sz="0" w:space="0" w:color="auto"/>
        <w:left w:val="none" w:sz="0" w:space="0" w:color="auto"/>
        <w:bottom w:val="none" w:sz="0" w:space="0" w:color="auto"/>
        <w:right w:val="none" w:sz="0" w:space="0" w:color="auto"/>
      </w:divBdr>
    </w:div>
    <w:div w:id="1595673428">
      <w:bodyDiv w:val="1"/>
      <w:marLeft w:val="0"/>
      <w:marRight w:val="0"/>
      <w:marTop w:val="0"/>
      <w:marBottom w:val="0"/>
      <w:divBdr>
        <w:top w:val="none" w:sz="0" w:space="0" w:color="auto"/>
        <w:left w:val="none" w:sz="0" w:space="0" w:color="auto"/>
        <w:bottom w:val="none" w:sz="0" w:space="0" w:color="auto"/>
        <w:right w:val="none" w:sz="0" w:space="0" w:color="auto"/>
      </w:divBdr>
    </w:div>
    <w:div w:id="17435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ti.unfpa.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iti.office@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SANDER-LINDSTROM</dc:creator>
  <cp:lastModifiedBy>Mauteline GUSTAVE</cp:lastModifiedBy>
  <cp:revision>3</cp:revision>
  <cp:lastPrinted>2016-11-29T19:24:00Z</cp:lastPrinted>
  <dcterms:created xsi:type="dcterms:W3CDTF">2019-07-02T14:40:00Z</dcterms:created>
  <dcterms:modified xsi:type="dcterms:W3CDTF">2019-07-02T14:41:00Z</dcterms:modified>
</cp:coreProperties>
</file>