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41E" w:rsidRPr="003A6658" w:rsidRDefault="0008141E" w:rsidP="00DF4423">
      <w:pPr>
        <w:tabs>
          <w:tab w:val="left" w:pos="2880"/>
        </w:tabs>
        <w:spacing w:after="160" w:line="256" w:lineRule="auto"/>
        <w:jc w:val="center"/>
        <w:rPr>
          <w:rFonts w:eastAsia="Calibri"/>
          <w:b/>
          <w:bCs/>
          <w:i/>
          <w:lang w:val="fr-FR"/>
        </w:rPr>
      </w:pPr>
      <w:r w:rsidRPr="0008141E">
        <w:rPr>
          <w:rFonts w:ascii="Arial" w:eastAsia="MS Mincho" w:hAnsi="Arial" w:cs="Arial"/>
          <w:noProof/>
          <w:sz w:val="22"/>
          <w:szCs w:val="22"/>
        </w:rPr>
        <w:drawing>
          <wp:anchor distT="0" distB="0" distL="114300" distR="114300" simplePos="0" relativeHeight="251659264" behindDoc="1" locked="0" layoutInCell="1" allowOverlap="1">
            <wp:simplePos x="0" y="0"/>
            <wp:positionH relativeFrom="column">
              <wp:posOffset>2533650</wp:posOffset>
            </wp:positionH>
            <wp:positionV relativeFrom="paragraph">
              <wp:posOffset>-638175</wp:posOffset>
            </wp:positionV>
            <wp:extent cx="1000125" cy="590550"/>
            <wp:effectExtent l="19050" t="0" r="9525" b="0"/>
            <wp:wrapThrough wrapText="bothSides">
              <wp:wrapPolygon edited="0">
                <wp:start x="-411" y="0"/>
                <wp:lineTo x="-411" y="20903"/>
                <wp:lineTo x="21806" y="20903"/>
                <wp:lineTo x="21806" y="0"/>
                <wp:lineTo x="-411"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0125" cy="590550"/>
                    </a:xfrm>
                    <a:prstGeom prst="rect">
                      <a:avLst/>
                    </a:prstGeom>
                    <a:noFill/>
                    <a:ln>
                      <a:noFill/>
                    </a:ln>
                  </pic:spPr>
                </pic:pic>
              </a:graphicData>
            </a:graphic>
          </wp:anchor>
        </w:drawing>
      </w:r>
      <w:r w:rsidRPr="003A6658">
        <w:rPr>
          <w:rFonts w:eastAsia="Calibri"/>
          <w:b/>
          <w:bCs/>
          <w:i/>
          <w:lang w:val="fr-FR"/>
        </w:rPr>
        <w:t>RÉPUBLIQUE D’HAÏTI</w:t>
      </w:r>
    </w:p>
    <w:p w:rsidR="0008141E" w:rsidRPr="003A6658" w:rsidRDefault="0008141E" w:rsidP="0008141E">
      <w:pPr>
        <w:jc w:val="center"/>
        <w:rPr>
          <w:rFonts w:eastAsia="Calibri"/>
          <w:b/>
          <w:bCs/>
          <w:i/>
          <w:lang w:val="fr-FR"/>
        </w:rPr>
      </w:pPr>
      <w:r w:rsidRPr="003A6658">
        <w:rPr>
          <w:rFonts w:eastAsia="Calibri"/>
          <w:b/>
          <w:bCs/>
          <w:i/>
          <w:lang w:val="fr-FR"/>
        </w:rPr>
        <w:t>Ministère de la Santé Publique et de la Population (MSPP)</w:t>
      </w:r>
    </w:p>
    <w:p w:rsidR="0008141E" w:rsidRPr="003A6658" w:rsidRDefault="0008141E" w:rsidP="00F95C12">
      <w:pPr>
        <w:pStyle w:val="Title"/>
        <w:jc w:val="center"/>
        <w:rPr>
          <w:rFonts w:ascii="Times New Roman" w:hAnsi="Times New Roman" w:cs="Times New Roman"/>
          <w:b/>
          <w:i/>
          <w:sz w:val="24"/>
          <w:szCs w:val="24"/>
          <w:lang w:val="fr-FR"/>
        </w:rPr>
      </w:pPr>
      <w:r w:rsidRPr="003A6658">
        <w:rPr>
          <w:rFonts w:ascii="Times New Roman" w:hAnsi="Times New Roman" w:cs="Times New Roman"/>
          <w:b/>
          <w:i/>
          <w:sz w:val="24"/>
          <w:szCs w:val="24"/>
          <w:lang w:val="fr-FR"/>
        </w:rPr>
        <w:t>Unité de Coordination des Maladies Infectieuses et Transmissibles</w:t>
      </w:r>
      <w:r w:rsidR="00F95C12" w:rsidRPr="003A6658">
        <w:rPr>
          <w:rFonts w:ascii="Times New Roman" w:hAnsi="Times New Roman" w:cs="Times New Roman"/>
          <w:b/>
          <w:i/>
          <w:sz w:val="24"/>
          <w:szCs w:val="24"/>
          <w:lang w:val="fr-FR"/>
        </w:rPr>
        <w:t>(UCMIT)</w:t>
      </w:r>
    </w:p>
    <w:p w:rsidR="0008141E" w:rsidRDefault="0008141E" w:rsidP="008827AF">
      <w:pPr>
        <w:pStyle w:val="NormalWeb"/>
        <w:tabs>
          <w:tab w:val="left" w:pos="3150"/>
        </w:tabs>
        <w:spacing w:before="0" w:beforeAutospacing="0" w:after="0" w:afterAutospacing="0"/>
        <w:ind w:right="504"/>
        <w:jc w:val="center"/>
        <w:rPr>
          <w:rFonts w:ascii="Tw Cen MT" w:hAnsi="Tw Cen MT"/>
          <w:b/>
          <w:sz w:val="28"/>
          <w:szCs w:val="28"/>
          <w:lang w:val="fr-FR"/>
        </w:rPr>
      </w:pPr>
    </w:p>
    <w:p w:rsidR="008827AF" w:rsidRPr="007A196F" w:rsidRDefault="008827AF" w:rsidP="008827AF">
      <w:pPr>
        <w:pStyle w:val="NormalWeb"/>
        <w:tabs>
          <w:tab w:val="left" w:pos="3150"/>
        </w:tabs>
        <w:spacing w:before="0" w:beforeAutospacing="0" w:after="0" w:afterAutospacing="0"/>
        <w:ind w:right="504"/>
        <w:jc w:val="center"/>
        <w:rPr>
          <w:rFonts w:ascii="Tw Cen MT" w:hAnsi="Tw Cen MT"/>
          <w:b/>
          <w:sz w:val="28"/>
          <w:szCs w:val="28"/>
          <w:lang w:val="fr-FR"/>
        </w:rPr>
      </w:pPr>
      <w:r w:rsidRPr="007A196F">
        <w:rPr>
          <w:rFonts w:ascii="Tw Cen MT" w:hAnsi="Tw Cen MT"/>
          <w:b/>
          <w:sz w:val="28"/>
          <w:szCs w:val="28"/>
          <w:lang w:val="fr-FR"/>
        </w:rPr>
        <w:t>Termes de Référence</w:t>
      </w:r>
    </w:p>
    <w:p w:rsidR="0008141E" w:rsidRPr="00F95C12" w:rsidRDefault="008827AF" w:rsidP="00F95C12">
      <w:pPr>
        <w:pStyle w:val="NormalWeb"/>
        <w:tabs>
          <w:tab w:val="left" w:pos="3150"/>
        </w:tabs>
        <w:spacing w:before="0" w:beforeAutospacing="0" w:after="0" w:afterAutospacing="0"/>
        <w:ind w:right="504"/>
        <w:jc w:val="center"/>
        <w:rPr>
          <w:rFonts w:ascii="Tw Cen MT" w:hAnsi="Tw Cen MT"/>
          <w:b/>
          <w:sz w:val="28"/>
          <w:szCs w:val="28"/>
          <w:lang w:val="fr-FR"/>
        </w:rPr>
      </w:pPr>
      <w:r>
        <w:rPr>
          <w:rFonts w:ascii="Tw Cen MT" w:hAnsi="Tw Cen MT"/>
          <w:b/>
          <w:sz w:val="28"/>
          <w:szCs w:val="28"/>
          <w:lang w:val="fr-FR"/>
        </w:rPr>
        <w:t>Consultante-Conseillère Technique</w:t>
      </w:r>
      <w:r w:rsidR="0008141E">
        <w:rPr>
          <w:rFonts w:ascii="Tw Cen MT" w:hAnsi="Tw Cen MT"/>
          <w:b/>
          <w:sz w:val="28"/>
          <w:szCs w:val="28"/>
          <w:lang w:val="fr-FR"/>
        </w:rPr>
        <w:t xml:space="preserve"> en suivi de la performance </w:t>
      </w:r>
    </w:p>
    <w:p w:rsidR="008827AF" w:rsidRPr="007A196F" w:rsidRDefault="0008141E" w:rsidP="0008141E">
      <w:pPr>
        <w:pStyle w:val="Heading1"/>
        <w:rPr>
          <w:lang w:val="fr-FR"/>
        </w:rPr>
      </w:pPr>
      <w:r>
        <w:rPr>
          <w:lang w:val="fr-FR"/>
        </w:rPr>
        <w:t>Contexte du poste</w:t>
      </w:r>
    </w:p>
    <w:p w:rsidR="0008141E" w:rsidRDefault="008827AF" w:rsidP="008827AF">
      <w:pPr>
        <w:pStyle w:val="NormalWeb"/>
        <w:tabs>
          <w:tab w:val="left" w:pos="3150"/>
        </w:tabs>
        <w:spacing w:before="0" w:beforeAutospacing="0" w:after="0" w:afterAutospacing="0"/>
        <w:ind w:right="504"/>
        <w:jc w:val="both"/>
        <w:rPr>
          <w:rFonts w:ascii="Tw Cen MT" w:hAnsi="Tw Cen MT"/>
          <w:lang w:val="fr-FR"/>
        </w:rPr>
      </w:pPr>
      <w:r w:rsidRPr="007A196F">
        <w:rPr>
          <w:rFonts w:ascii="Tw Cen MT" w:hAnsi="Tw Cen MT"/>
          <w:lang w:val="fr-FR"/>
        </w:rPr>
        <w:t>L</w:t>
      </w:r>
      <w:r>
        <w:rPr>
          <w:rFonts w:ascii="Tw Cen MT" w:hAnsi="Tw Cen MT"/>
          <w:lang w:val="fr-FR"/>
        </w:rPr>
        <w:t xml:space="preserve">’Unité de Coordination des Maladies infectieuses et Transmissibles MSPP/UCMIT </w:t>
      </w:r>
      <w:r w:rsidR="0008141E">
        <w:rPr>
          <w:rFonts w:ascii="Tw Cen MT" w:hAnsi="Tw Cen MT"/>
          <w:lang w:val="fr-FR"/>
        </w:rPr>
        <w:t>est une Direction Centrale du Ministère de la Santé en charge de la planification, de la mise en œuvre, du contrôle et du suivi de la réponse nationale aux principales endémies du pays. Hébergeant les programmes prioritaires dédiés à la prise en charge des maladies infectieuses (PNCM, PLNS, PNLT</w:t>
      </w:r>
      <w:r w:rsidR="00F95C12">
        <w:rPr>
          <w:rStyle w:val="FootnoteReference"/>
          <w:rFonts w:ascii="Tw Cen MT" w:hAnsi="Tw Cen MT"/>
          <w:lang w:val="fr-FR"/>
        </w:rPr>
        <w:footnoteReference w:id="2"/>
      </w:r>
      <w:r w:rsidR="0008141E">
        <w:rPr>
          <w:rFonts w:ascii="Tw Cen MT" w:hAnsi="Tw Cen MT"/>
          <w:lang w:val="fr-FR"/>
        </w:rPr>
        <w:t xml:space="preserve">), elle définit à travers des plans stratégiques les interventions sectorielles dont les coordinations techniques des programmes assument le leadership technique et la gestion opérationnelle.   </w:t>
      </w:r>
    </w:p>
    <w:p w:rsidR="0008141E" w:rsidRDefault="0008141E" w:rsidP="008827AF">
      <w:pPr>
        <w:pStyle w:val="NormalWeb"/>
        <w:tabs>
          <w:tab w:val="left" w:pos="3150"/>
        </w:tabs>
        <w:spacing w:before="0" w:beforeAutospacing="0" w:after="0" w:afterAutospacing="0"/>
        <w:ind w:right="504"/>
        <w:jc w:val="both"/>
        <w:rPr>
          <w:rFonts w:ascii="Tw Cen MT" w:hAnsi="Tw Cen MT"/>
          <w:lang w:val="fr-FR"/>
        </w:rPr>
      </w:pPr>
      <w:r>
        <w:rPr>
          <w:rFonts w:ascii="Tw Cen MT" w:hAnsi="Tw Cen MT"/>
          <w:lang w:val="fr-FR"/>
        </w:rPr>
        <w:t>Outre l’engagement de la Haute Instance du MSPP et de l’accompagnement du CCM</w:t>
      </w:r>
      <w:r w:rsidR="00F95C12">
        <w:rPr>
          <w:rStyle w:val="FootnoteReference"/>
          <w:rFonts w:ascii="Tw Cen MT" w:hAnsi="Tw Cen MT"/>
          <w:lang w:val="fr-FR"/>
        </w:rPr>
        <w:footnoteReference w:id="3"/>
      </w:r>
      <w:r>
        <w:rPr>
          <w:rFonts w:ascii="Tw Cen MT" w:hAnsi="Tw Cen MT"/>
          <w:lang w:val="fr-FR"/>
        </w:rPr>
        <w:t xml:space="preserve">, elle bénéficie du support de partenaires techniques et financiers qui aident les programmes à définir et à implémenter </w:t>
      </w:r>
      <w:r w:rsidRPr="007A196F">
        <w:rPr>
          <w:rFonts w:ascii="Tw Cen MT" w:hAnsi="Tw Cen MT"/>
          <w:lang w:val="fr-FR"/>
        </w:rPr>
        <w:t xml:space="preserve">les politiques, stratégies et directives </w:t>
      </w:r>
      <w:r>
        <w:rPr>
          <w:rFonts w:ascii="Tw Cen MT" w:hAnsi="Tw Cen MT"/>
          <w:lang w:val="fr-FR"/>
        </w:rPr>
        <w:t xml:space="preserve">dans la lutte pour l’élimination des trois pathologies à l’horizon de 2030. Aussi, la performance programmatique et financière demeure une préoccupation majeure pour cette entité centrale du MSPP qui doit aussi bien réguler les autres acteurs du système qui interviennent dans la riposte et accompagner les </w:t>
      </w:r>
      <w:r w:rsidR="008827AF" w:rsidRPr="007A196F">
        <w:rPr>
          <w:rFonts w:ascii="Tw Cen MT" w:hAnsi="Tw Cen MT"/>
          <w:lang w:val="fr-FR"/>
        </w:rPr>
        <w:t>directions départementales</w:t>
      </w:r>
      <w:r>
        <w:rPr>
          <w:rFonts w:ascii="Tw Cen MT" w:hAnsi="Tw Cen MT"/>
          <w:lang w:val="fr-FR"/>
        </w:rPr>
        <w:t xml:space="preserve"> dans la capacité de pilotage des interventions au niveau de la périphérie (institutionnel et communautaire).   </w:t>
      </w:r>
    </w:p>
    <w:p w:rsidR="008827AF" w:rsidRPr="007A196F" w:rsidRDefault="0008141E" w:rsidP="008827AF">
      <w:pPr>
        <w:pStyle w:val="NormalWeb"/>
        <w:tabs>
          <w:tab w:val="left" w:pos="3150"/>
        </w:tabs>
        <w:spacing w:before="0" w:beforeAutospacing="0" w:after="0" w:afterAutospacing="0"/>
        <w:ind w:right="504"/>
        <w:jc w:val="both"/>
        <w:rPr>
          <w:rFonts w:ascii="Tw Cen MT" w:hAnsi="Tw Cen MT"/>
          <w:lang w:val="fr-FR"/>
        </w:rPr>
      </w:pPr>
      <w:r>
        <w:rPr>
          <w:rFonts w:ascii="Tw Cen MT" w:hAnsi="Tw Cen MT"/>
          <w:lang w:val="fr-FR"/>
        </w:rPr>
        <w:t xml:space="preserve">Attachée à ce double mandat, l’UCMIT recrute dans le cadre du renforcement de la Coordination Technique du PNCM, un consultant en renforcement de capacité et en amélioration de </w:t>
      </w:r>
      <w:r w:rsidR="00167E7B">
        <w:rPr>
          <w:rFonts w:ascii="Tw Cen MT" w:hAnsi="Tw Cen MT"/>
          <w:lang w:val="fr-FR"/>
        </w:rPr>
        <w:t>la performance programmatique et financière par rapport aux activités subventionnées par les bailleurs en particulier le Fond Mondial et Malaria Zéro</w:t>
      </w:r>
      <w:r>
        <w:rPr>
          <w:rFonts w:ascii="Tw Cen MT" w:hAnsi="Tw Cen MT"/>
          <w:lang w:val="fr-FR"/>
        </w:rPr>
        <w:t>.</w:t>
      </w:r>
    </w:p>
    <w:p w:rsidR="0008141E" w:rsidRDefault="0008141E" w:rsidP="0008141E">
      <w:pPr>
        <w:pStyle w:val="Heading1"/>
        <w:rPr>
          <w:lang w:val="fr-FR"/>
        </w:rPr>
      </w:pPr>
      <w:r>
        <w:rPr>
          <w:lang w:val="fr-FR"/>
        </w:rPr>
        <w:t xml:space="preserve">Responsabilités </w:t>
      </w:r>
    </w:p>
    <w:p w:rsidR="008827AF" w:rsidRPr="00DF4423" w:rsidRDefault="0008141E" w:rsidP="008827AF">
      <w:pPr>
        <w:pStyle w:val="NormalWeb"/>
        <w:tabs>
          <w:tab w:val="left" w:pos="3150"/>
        </w:tabs>
        <w:spacing w:before="0" w:beforeAutospacing="0" w:after="0" w:afterAutospacing="0"/>
        <w:ind w:right="504"/>
        <w:jc w:val="both"/>
        <w:rPr>
          <w:lang w:val="fr-FR"/>
        </w:rPr>
      </w:pPr>
      <w:r w:rsidRPr="00DF4423">
        <w:rPr>
          <w:lang w:val="fr-FR"/>
        </w:rPr>
        <w:t>A titre de conseiller</w:t>
      </w:r>
      <w:r w:rsidR="008827AF" w:rsidRPr="00DF4423">
        <w:rPr>
          <w:lang w:val="fr-FR"/>
        </w:rPr>
        <w:t xml:space="preserve"> technique</w:t>
      </w:r>
      <w:r w:rsidRPr="00DF4423">
        <w:rPr>
          <w:lang w:val="fr-FR"/>
        </w:rPr>
        <w:t xml:space="preserve">, ce consultant </w:t>
      </w:r>
      <w:r w:rsidR="008827AF" w:rsidRPr="00DF4423">
        <w:rPr>
          <w:lang w:val="fr-FR"/>
        </w:rPr>
        <w:t xml:space="preserve">devra: </w:t>
      </w:r>
    </w:p>
    <w:p w:rsidR="008827AF" w:rsidRPr="00DF4423" w:rsidRDefault="0008141E" w:rsidP="008827AF">
      <w:pPr>
        <w:pStyle w:val="NormalWeb"/>
        <w:numPr>
          <w:ilvl w:val="0"/>
          <w:numId w:val="1"/>
        </w:numPr>
        <w:tabs>
          <w:tab w:val="left" w:pos="3150"/>
        </w:tabs>
        <w:spacing w:before="0" w:beforeAutospacing="0" w:after="0" w:afterAutospacing="0"/>
        <w:ind w:right="504"/>
        <w:jc w:val="both"/>
        <w:rPr>
          <w:lang w:val="fr-FR"/>
        </w:rPr>
      </w:pPr>
      <w:r w:rsidRPr="00DF4423">
        <w:rPr>
          <w:lang w:val="fr-FR"/>
        </w:rPr>
        <w:t xml:space="preserve">Assurer le suivi des principaux indicateurs de performance du programme (A la lumière du plan stratégique d’élimination de la Malaria </w:t>
      </w:r>
      <w:r w:rsidR="00F95C12" w:rsidRPr="00DF4423">
        <w:rPr>
          <w:lang w:val="fr-FR"/>
        </w:rPr>
        <w:t>(</w:t>
      </w:r>
      <w:r w:rsidRPr="00DF4423">
        <w:rPr>
          <w:lang w:val="fr-FR"/>
        </w:rPr>
        <w:t>PSNEM</w:t>
      </w:r>
      <w:r w:rsidR="00F95C12" w:rsidRPr="00DF4423">
        <w:rPr>
          <w:lang w:val="fr-FR"/>
        </w:rPr>
        <w:t>)</w:t>
      </w:r>
      <w:r w:rsidRPr="00DF4423">
        <w:rPr>
          <w:lang w:val="fr-FR"/>
        </w:rPr>
        <w:t xml:space="preserve"> et du projet de MALARIA ZERO)</w:t>
      </w:r>
      <w:r w:rsidR="00167E7B" w:rsidRPr="00DF4423">
        <w:rPr>
          <w:lang w:val="fr-FR"/>
        </w:rPr>
        <w:t>.</w:t>
      </w:r>
    </w:p>
    <w:p w:rsidR="0008141E" w:rsidRPr="00DF4423" w:rsidRDefault="0008141E" w:rsidP="008827AF">
      <w:pPr>
        <w:pStyle w:val="NormalWeb"/>
        <w:numPr>
          <w:ilvl w:val="0"/>
          <w:numId w:val="1"/>
        </w:numPr>
        <w:tabs>
          <w:tab w:val="left" w:pos="3150"/>
        </w:tabs>
        <w:spacing w:before="0" w:beforeAutospacing="0" w:after="0" w:afterAutospacing="0"/>
        <w:ind w:right="504"/>
        <w:jc w:val="both"/>
        <w:rPr>
          <w:lang w:val="fr-FR"/>
        </w:rPr>
      </w:pPr>
      <w:r w:rsidRPr="00DF4423">
        <w:rPr>
          <w:lang w:val="fr-FR"/>
        </w:rPr>
        <w:t>Identifier les faiblesses structurelles à la performance du programme tant au niveau central qu’</w:t>
      </w:r>
      <w:r w:rsidR="00F95C12" w:rsidRPr="00DF4423">
        <w:rPr>
          <w:lang w:val="fr-FR"/>
        </w:rPr>
        <w:t>à</w:t>
      </w:r>
      <w:r w:rsidRPr="00DF4423">
        <w:rPr>
          <w:lang w:val="fr-FR"/>
        </w:rPr>
        <w:t xml:space="preserve"> l’échelle départementale. </w:t>
      </w:r>
    </w:p>
    <w:p w:rsidR="0008141E" w:rsidRPr="00DF4423" w:rsidRDefault="0008141E" w:rsidP="008827AF">
      <w:pPr>
        <w:pStyle w:val="NormalWeb"/>
        <w:numPr>
          <w:ilvl w:val="0"/>
          <w:numId w:val="1"/>
        </w:numPr>
        <w:tabs>
          <w:tab w:val="left" w:pos="3150"/>
        </w:tabs>
        <w:spacing w:before="0" w:beforeAutospacing="0" w:after="0" w:afterAutospacing="0"/>
        <w:ind w:right="504"/>
        <w:jc w:val="both"/>
        <w:rPr>
          <w:lang w:val="fr-FR"/>
        </w:rPr>
      </w:pPr>
      <w:r w:rsidRPr="00DF4423">
        <w:rPr>
          <w:lang w:val="fr-FR"/>
        </w:rPr>
        <w:t xml:space="preserve">Définir avec la direction de l’UCMIT et le Coordonnateur Technique du programme un plan de performance qui compensera les déficits de la mise en œuvre actuelle des activités. </w:t>
      </w:r>
    </w:p>
    <w:p w:rsidR="0008141E" w:rsidRPr="00DF4423" w:rsidRDefault="0008141E" w:rsidP="008827AF">
      <w:pPr>
        <w:pStyle w:val="NormalWeb"/>
        <w:numPr>
          <w:ilvl w:val="0"/>
          <w:numId w:val="1"/>
        </w:numPr>
        <w:tabs>
          <w:tab w:val="left" w:pos="3150"/>
        </w:tabs>
        <w:spacing w:before="0" w:beforeAutospacing="0" w:after="0" w:afterAutospacing="0"/>
        <w:ind w:right="504"/>
        <w:jc w:val="both"/>
        <w:rPr>
          <w:lang w:val="fr-FR"/>
        </w:rPr>
      </w:pPr>
      <w:r w:rsidRPr="00DF4423">
        <w:rPr>
          <w:lang w:val="fr-FR"/>
        </w:rPr>
        <w:t>Appuyer l’UCMIT via la Coordination du PNCM dans la communication efficace aux partenaires et à la haute instance du MSPP</w:t>
      </w:r>
      <w:r w:rsidR="008827AF" w:rsidRPr="00DF4423">
        <w:rPr>
          <w:lang w:val="fr-FR"/>
        </w:rPr>
        <w:t xml:space="preserve">. </w:t>
      </w:r>
    </w:p>
    <w:p w:rsidR="0008141E" w:rsidRPr="007A196F" w:rsidRDefault="0008141E" w:rsidP="008827AF">
      <w:pPr>
        <w:pStyle w:val="NormalWeb"/>
        <w:tabs>
          <w:tab w:val="left" w:pos="3150"/>
        </w:tabs>
        <w:spacing w:before="0" w:beforeAutospacing="0" w:after="0" w:afterAutospacing="0"/>
        <w:ind w:right="504"/>
        <w:jc w:val="both"/>
        <w:rPr>
          <w:rFonts w:ascii="Tw Cen MT" w:hAnsi="Tw Cen MT"/>
          <w:lang w:val="fr-FR"/>
        </w:rPr>
      </w:pPr>
    </w:p>
    <w:p w:rsidR="008827AF" w:rsidRDefault="0008141E" w:rsidP="008827AF">
      <w:pPr>
        <w:pStyle w:val="NormalWeb"/>
        <w:tabs>
          <w:tab w:val="left" w:pos="3150"/>
        </w:tabs>
        <w:spacing w:before="0" w:beforeAutospacing="0" w:after="0" w:afterAutospacing="0"/>
        <w:ind w:right="504"/>
        <w:jc w:val="both"/>
        <w:rPr>
          <w:rFonts w:ascii="Tw Cen MT" w:hAnsi="Tw Cen MT"/>
          <w:lang w:val="fr-FR"/>
        </w:rPr>
      </w:pPr>
      <w:r w:rsidRPr="0008141E">
        <w:rPr>
          <w:rStyle w:val="Heading1Char"/>
        </w:rPr>
        <w:lastRenderedPageBreak/>
        <w:t>Principales tâches</w:t>
      </w:r>
      <w:r>
        <w:rPr>
          <w:rFonts w:ascii="Tw Cen MT" w:hAnsi="Tw Cen MT"/>
          <w:lang w:val="fr-FR"/>
        </w:rPr>
        <w:t xml:space="preserve"> :</w:t>
      </w:r>
    </w:p>
    <w:p w:rsidR="00DF4423" w:rsidRPr="00E94C4E" w:rsidRDefault="00DF4423" w:rsidP="008827AF">
      <w:pPr>
        <w:pStyle w:val="NormalWeb"/>
        <w:tabs>
          <w:tab w:val="left" w:pos="3150"/>
        </w:tabs>
        <w:spacing w:before="0" w:beforeAutospacing="0" w:after="0" w:afterAutospacing="0"/>
        <w:ind w:right="504"/>
        <w:jc w:val="both"/>
        <w:rPr>
          <w:rFonts w:ascii="Tw Cen MT" w:hAnsi="Tw Cen MT"/>
          <w:lang w:val="fr-FR"/>
        </w:rPr>
      </w:pPr>
    </w:p>
    <w:p w:rsidR="008827AF" w:rsidRPr="00DF4423" w:rsidRDefault="0008141E" w:rsidP="008827AF">
      <w:pPr>
        <w:pStyle w:val="NormalWeb"/>
        <w:numPr>
          <w:ilvl w:val="0"/>
          <w:numId w:val="2"/>
        </w:numPr>
        <w:tabs>
          <w:tab w:val="left" w:pos="3150"/>
        </w:tabs>
        <w:spacing w:before="0" w:beforeAutospacing="0" w:after="0" w:afterAutospacing="0"/>
        <w:ind w:right="504"/>
        <w:jc w:val="both"/>
        <w:rPr>
          <w:lang w:val="fr-FR"/>
        </w:rPr>
      </w:pPr>
      <w:r w:rsidRPr="00DF4423">
        <w:rPr>
          <w:lang w:val="fr-FR"/>
        </w:rPr>
        <w:t xml:space="preserve">Élaboration </w:t>
      </w:r>
      <w:r w:rsidR="008827AF" w:rsidRPr="00DF4423">
        <w:rPr>
          <w:lang w:val="fr-FR"/>
        </w:rPr>
        <w:t>des plans d'activités détaillés pour la mise en place de programmes d'assistance technique et/ou de développement des capacités ;</w:t>
      </w:r>
    </w:p>
    <w:p w:rsidR="008827AF" w:rsidRPr="00DF4423" w:rsidRDefault="0008141E" w:rsidP="008827AF">
      <w:pPr>
        <w:pStyle w:val="NormalWeb"/>
        <w:numPr>
          <w:ilvl w:val="0"/>
          <w:numId w:val="2"/>
        </w:numPr>
        <w:tabs>
          <w:tab w:val="left" w:pos="3150"/>
        </w:tabs>
        <w:spacing w:before="0" w:beforeAutospacing="0" w:after="0" w:afterAutospacing="0"/>
        <w:ind w:right="504"/>
        <w:jc w:val="both"/>
        <w:rPr>
          <w:lang w:val="fr-FR"/>
        </w:rPr>
      </w:pPr>
      <w:r w:rsidRPr="00DF4423">
        <w:rPr>
          <w:lang w:val="fr-FR"/>
        </w:rPr>
        <w:t>A</w:t>
      </w:r>
      <w:r w:rsidR="008827AF" w:rsidRPr="00DF4423">
        <w:rPr>
          <w:lang w:val="fr-FR"/>
        </w:rPr>
        <w:t xml:space="preserve">limentation des outils de suivi et de rapportage. </w:t>
      </w:r>
    </w:p>
    <w:p w:rsidR="008827AF" w:rsidRPr="00DF4423" w:rsidRDefault="0008141E" w:rsidP="008827AF">
      <w:pPr>
        <w:pStyle w:val="NormalWeb"/>
        <w:numPr>
          <w:ilvl w:val="0"/>
          <w:numId w:val="2"/>
        </w:numPr>
        <w:tabs>
          <w:tab w:val="left" w:pos="3150"/>
        </w:tabs>
        <w:spacing w:before="0" w:beforeAutospacing="0" w:after="0" w:afterAutospacing="0"/>
        <w:ind w:right="504"/>
        <w:jc w:val="both"/>
        <w:rPr>
          <w:lang w:val="fr-FR"/>
        </w:rPr>
      </w:pPr>
      <w:r w:rsidRPr="00DF4423">
        <w:rPr>
          <w:lang w:val="fr-FR"/>
        </w:rPr>
        <w:t>E</w:t>
      </w:r>
      <w:r w:rsidR="00323501" w:rsidRPr="00DF4423">
        <w:rPr>
          <w:lang w:val="fr-FR"/>
        </w:rPr>
        <w:t xml:space="preserve">laboration </w:t>
      </w:r>
      <w:r w:rsidRPr="00DF4423">
        <w:rPr>
          <w:lang w:val="fr-FR"/>
        </w:rPr>
        <w:t>d’outils de suivi de l’exécution</w:t>
      </w:r>
      <w:r w:rsidR="00323501" w:rsidRPr="00DF4423">
        <w:rPr>
          <w:lang w:val="fr-FR"/>
        </w:rPr>
        <w:t xml:space="preserve"> Budgétaire des subventions en cours.</w:t>
      </w:r>
    </w:p>
    <w:p w:rsidR="008827AF" w:rsidRPr="00DF4423" w:rsidRDefault="008827AF" w:rsidP="008827AF">
      <w:pPr>
        <w:pStyle w:val="NormalWeb"/>
        <w:numPr>
          <w:ilvl w:val="0"/>
          <w:numId w:val="2"/>
        </w:numPr>
        <w:tabs>
          <w:tab w:val="left" w:pos="3150"/>
        </w:tabs>
        <w:spacing w:before="0" w:beforeAutospacing="0" w:after="0" w:afterAutospacing="0"/>
        <w:ind w:right="504"/>
        <w:jc w:val="both"/>
        <w:rPr>
          <w:lang w:val="fr-FR"/>
        </w:rPr>
      </w:pPr>
      <w:r w:rsidRPr="00DF4423">
        <w:rPr>
          <w:lang w:val="fr-FR"/>
        </w:rPr>
        <w:t>Suiv</w:t>
      </w:r>
      <w:r w:rsidR="0008141E" w:rsidRPr="00DF4423">
        <w:rPr>
          <w:lang w:val="fr-FR"/>
        </w:rPr>
        <w:t>i</w:t>
      </w:r>
      <w:r w:rsidRPr="00DF4423">
        <w:rPr>
          <w:lang w:val="fr-FR"/>
        </w:rPr>
        <w:t xml:space="preserve"> les indicateurs et les livrables du projet ;</w:t>
      </w:r>
    </w:p>
    <w:p w:rsidR="008827AF" w:rsidRPr="00DF4423" w:rsidRDefault="0008141E" w:rsidP="008827AF">
      <w:pPr>
        <w:pStyle w:val="NormalWeb"/>
        <w:numPr>
          <w:ilvl w:val="0"/>
          <w:numId w:val="2"/>
        </w:numPr>
        <w:tabs>
          <w:tab w:val="left" w:pos="3150"/>
        </w:tabs>
        <w:spacing w:before="0" w:beforeAutospacing="0" w:after="0" w:afterAutospacing="0"/>
        <w:ind w:right="504"/>
        <w:jc w:val="both"/>
        <w:rPr>
          <w:lang w:val="fr-FR"/>
        </w:rPr>
      </w:pPr>
      <w:r w:rsidRPr="00DF4423">
        <w:rPr>
          <w:lang w:val="fr-FR"/>
        </w:rPr>
        <w:t xml:space="preserve">Révision </w:t>
      </w:r>
      <w:r w:rsidR="008827AF" w:rsidRPr="00DF4423">
        <w:rPr>
          <w:lang w:val="fr-FR"/>
        </w:rPr>
        <w:t xml:space="preserve">des conventions signées </w:t>
      </w:r>
      <w:r w:rsidRPr="00DF4423">
        <w:rPr>
          <w:lang w:val="fr-FR"/>
        </w:rPr>
        <w:t>participation à</w:t>
      </w:r>
      <w:r w:rsidR="008827AF" w:rsidRPr="00DF4423">
        <w:rPr>
          <w:lang w:val="fr-FR"/>
        </w:rPr>
        <w:t xml:space="preserve"> la rédaction des rapports et état d’avancement du projet ; </w:t>
      </w:r>
    </w:p>
    <w:p w:rsidR="008827AF" w:rsidRPr="00DF4423" w:rsidRDefault="008827AF" w:rsidP="008827AF">
      <w:pPr>
        <w:pStyle w:val="NormalWeb"/>
        <w:numPr>
          <w:ilvl w:val="0"/>
          <w:numId w:val="2"/>
        </w:numPr>
        <w:tabs>
          <w:tab w:val="left" w:pos="3150"/>
        </w:tabs>
        <w:spacing w:before="0" w:beforeAutospacing="0" w:after="0" w:afterAutospacing="0"/>
        <w:ind w:right="504"/>
        <w:jc w:val="both"/>
        <w:rPr>
          <w:lang w:val="fr-FR"/>
        </w:rPr>
      </w:pPr>
      <w:r w:rsidRPr="00DF4423">
        <w:rPr>
          <w:lang w:val="fr-FR"/>
        </w:rPr>
        <w:t>Assist</w:t>
      </w:r>
      <w:r w:rsidR="0008141E" w:rsidRPr="00DF4423">
        <w:rPr>
          <w:lang w:val="fr-FR"/>
        </w:rPr>
        <w:t>ance à</w:t>
      </w:r>
      <w:r w:rsidRPr="00DF4423">
        <w:rPr>
          <w:lang w:val="fr-FR"/>
        </w:rPr>
        <w:t xml:space="preserve"> la mise en place de support de communication autour des activités développées, tant interne, qu’externe (publications, présentations, etc.) ;</w:t>
      </w:r>
    </w:p>
    <w:p w:rsidR="008827AF" w:rsidRPr="00DF4423" w:rsidRDefault="008827AF" w:rsidP="008827AF">
      <w:pPr>
        <w:pStyle w:val="NormalWeb"/>
        <w:numPr>
          <w:ilvl w:val="0"/>
          <w:numId w:val="2"/>
        </w:numPr>
        <w:tabs>
          <w:tab w:val="left" w:pos="3150"/>
        </w:tabs>
        <w:spacing w:before="0" w:beforeAutospacing="0" w:after="0" w:afterAutospacing="0"/>
        <w:ind w:right="504"/>
        <w:jc w:val="both"/>
        <w:rPr>
          <w:lang w:val="fr-FR"/>
        </w:rPr>
      </w:pPr>
      <w:r w:rsidRPr="00DF4423">
        <w:rPr>
          <w:lang w:val="fr-FR"/>
        </w:rPr>
        <w:t>Représent</w:t>
      </w:r>
      <w:r w:rsidR="0008141E" w:rsidRPr="00DF4423">
        <w:rPr>
          <w:lang w:val="fr-FR"/>
        </w:rPr>
        <w:t xml:space="preserve">ation du programme </w:t>
      </w:r>
      <w:r w:rsidRPr="00DF4423">
        <w:rPr>
          <w:lang w:val="fr-FR"/>
        </w:rPr>
        <w:t xml:space="preserve">à différentes réunions ou évènements sur demande ; </w:t>
      </w:r>
    </w:p>
    <w:p w:rsidR="0008141E" w:rsidRPr="00DF4423" w:rsidRDefault="0008141E" w:rsidP="003B7D64">
      <w:pPr>
        <w:pStyle w:val="NormalWeb"/>
        <w:numPr>
          <w:ilvl w:val="0"/>
          <w:numId w:val="2"/>
        </w:numPr>
        <w:tabs>
          <w:tab w:val="left" w:pos="3150"/>
        </w:tabs>
        <w:spacing w:before="0" w:beforeAutospacing="0" w:after="0" w:afterAutospacing="0"/>
        <w:ind w:right="504"/>
        <w:jc w:val="both"/>
        <w:rPr>
          <w:lang w:val="fr-FR"/>
        </w:rPr>
      </w:pPr>
      <w:r w:rsidRPr="00DF4423">
        <w:rPr>
          <w:lang w:val="fr-FR"/>
        </w:rPr>
        <w:t xml:space="preserve">Contribution </w:t>
      </w:r>
      <w:r w:rsidR="008827AF" w:rsidRPr="00DF4423">
        <w:rPr>
          <w:lang w:val="fr-FR"/>
        </w:rPr>
        <w:t>à tout autre projet dévelo</w:t>
      </w:r>
      <w:r w:rsidR="003B7D64" w:rsidRPr="00DF4423">
        <w:rPr>
          <w:lang w:val="fr-FR"/>
        </w:rPr>
        <w:t>ppé ou mis en œuvre par le MSPP/UCMIT</w:t>
      </w:r>
      <w:r w:rsidR="008827AF" w:rsidRPr="00DF4423">
        <w:rPr>
          <w:lang w:val="fr-FR"/>
        </w:rPr>
        <w:t> ;</w:t>
      </w:r>
    </w:p>
    <w:p w:rsidR="008827AF" w:rsidRPr="00DF4423" w:rsidRDefault="008827AF" w:rsidP="003B7D64">
      <w:pPr>
        <w:pStyle w:val="NormalWeb"/>
        <w:numPr>
          <w:ilvl w:val="0"/>
          <w:numId w:val="2"/>
        </w:numPr>
        <w:tabs>
          <w:tab w:val="left" w:pos="3150"/>
        </w:tabs>
        <w:spacing w:before="0" w:beforeAutospacing="0" w:after="0" w:afterAutospacing="0"/>
        <w:ind w:right="504"/>
        <w:jc w:val="both"/>
        <w:rPr>
          <w:lang w:val="fr-FR"/>
        </w:rPr>
      </w:pPr>
      <w:r w:rsidRPr="00DF4423">
        <w:rPr>
          <w:lang w:val="fr-FR"/>
        </w:rPr>
        <w:t>Particip</w:t>
      </w:r>
      <w:r w:rsidR="0008141E" w:rsidRPr="00DF4423">
        <w:rPr>
          <w:lang w:val="fr-FR"/>
        </w:rPr>
        <w:t xml:space="preserve">ation </w:t>
      </w:r>
      <w:r w:rsidRPr="00DF4423">
        <w:rPr>
          <w:lang w:val="fr-FR"/>
        </w:rPr>
        <w:t xml:space="preserve">aux missions entrant dans le cadre des activités du projet sur demande </w:t>
      </w:r>
    </w:p>
    <w:p w:rsidR="0008141E" w:rsidRPr="00DF4423" w:rsidRDefault="0008141E" w:rsidP="008827AF">
      <w:pPr>
        <w:pStyle w:val="NormalWeb"/>
        <w:numPr>
          <w:ilvl w:val="0"/>
          <w:numId w:val="2"/>
        </w:numPr>
        <w:tabs>
          <w:tab w:val="left" w:pos="3150"/>
        </w:tabs>
        <w:spacing w:before="0" w:beforeAutospacing="0" w:after="0" w:afterAutospacing="0"/>
        <w:ind w:right="504"/>
        <w:jc w:val="both"/>
        <w:rPr>
          <w:lang w:val="fr-FR"/>
        </w:rPr>
      </w:pPr>
      <w:r w:rsidRPr="00DF4423">
        <w:rPr>
          <w:lang w:val="fr-FR"/>
        </w:rPr>
        <w:t xml:space="preserve">Participation à </w:t>
      </w:r>
      <w:r w:rsidR="003A6658" w:rsidRPr="00DF4423">
        <w:rPr>
          <w:lang w:val="fr-FR"/>
        </w:rPr>
        <w:t>toutes autres tâches connexes</w:t>
      </w:r>
      <w:r w:rsidRPr="00DF4423">
        <w:rPr>
          <w:lang w:val="fr-FR"/>
        </w:rPr>
        <w:t xml:space="preserve"> sur demande de la hiérarchie.</w:t>
      </w:r>
    </w:p>
    <w:p w:rsidR="0008141E" w:rsidRPr="00DF4423" w:rsidRDefault="003A6658" w:rsidP="003A6658">
      <w:pPr>
        <w:pStyle w:val="NormalWeb"/>
        <w:tabs>
          <w:tab w:val="left" w:pos="1575"/>
        </w:tabs>
        <w:spacing w:before="0" w:beforeAutospacing="0" w:after="0" w:afterAutospacing="0"/>
        <w:ind w:left="360" w:right="504"/>
        <w:jc w:val="both"/>
        <w:rPr>
          <w:lang w:val="fr-FR"/>
        </w:rPr>
      </w:pPr>
      <w:r w:rsidRPr="00DF4423">
        <w:rPr>
          <w:lang w:val="fr-FR"/>
        </w:rPr>
        <w:tab/>
      </w:r>
    </w:p>
    <w:p w:rsidR="008827AF" w:rsidRPr="0008141E" w:rsidRDefault="0008141E" w:rsidP="0008141E">
      <w:pPr>
        <w:pStyle w:val="Heading1"/>
        <w:rPr>
          <w:lang w:val="fr-FR"/>
        </w:rPr>
      </w:pPr>
      <w:r>
        <w:rPr>
          <w:lang w:val="fr-FR"/>
        </w:rPr>
        <w:t xml:space="preserve">Livrables </w:t>
      </w:r>
    </w:p>
    <w:p w:rsidR="0008141E" w:rsidRPr="00DF4423" w:rsidRDefault="0008141E" w:rsidP="0008141E">
      <w:pPr>
        <w:pStyle w:val="NormalWeb"/>
        <w:numPr>
          <w:ilvl w:val="0"/>
          <w:numId w:val="2"/>
        </w:numPr>
        <w:tabs>
          <w:tab w:val="left" w:pos="3150"/>
        </w:tabs>
        <w:spacing w:before="0" w:beforeAutospacing="0" w:after="0" w:afterAutospacing="0"/>
        <w:ind w:right="504"/>
        <w:jc w:val="both"/>
        <w:rPr>
          <w:lang w:val="fr-FR"/>
        </w:rPr>
      </w:pPr>
      <w:r w:rsidRPr="00DF4423">
        <w:rPr>
          <w:lang w:val="fr-FR"/>
        </w:rPr>
        <w:t xml:space="preserve">Documents de listing des indicateurs de performance </w:t>
      </w:r>
    </w:p>
    <w:p w:rsidR="0008141E" w:rsidRPr="00DF4423" w:rsidRDefault="0008141E" w:rsidP="0008141E">
      <w:pPr>
        <w:pStyle w:val="NormalWeb"/>
        <w:numPr>
          <w:ilvl w:val="0"/>
          <w:numId w:val="2"/>
        </w:numPr>
        <w:tabs>
          <w:tab w:val="left" w:pos="3150"/>
        </w:tabs>
        <w:spacing w:before="0" w:beforeAutospacing="0" w:after="0" w:afterAutospacing="0"/>
        <w:ind w:right="504"/>
        <w:jc w:val="both"/>
        <w:rPr>
          <w:lang w:val="fr-FR"/>
        </w:rPr>
      </w:pPr>
      <w:r w:rsidRPr="00DF4423">
        <w:rPr>
          <w:lang w:val="fr-FR"/>
        </w:rPr>
        <w:t>Matrice de responsabilités dans la MEO</w:t>
      </w:r>
      <w:r w:rsidR="008827AF" w:rsidRPr="00DF4423">
        <w:rPr>
          <w:lang w:val="fr-FR"/>
        </w:rPr>
        <w:t xml:space="preserve">; </w:t>
      </w:r>
    </w:p>
    <w:p w:rsidR="0008141E" w:rsidRPr="00DF4423" w:rsidRDefault="0008141E" w:rsidP="0008141E">
      <w:pPr>
        <w:pStyle w:val="NormalWeb"/>
        <w:numPr>
          <w:ilvl w:val="0"/>
          <w:numId w:val="2"/>
        </w:numPr>
        <w:tabs>
          <w:tab w:val="left" w:pos="3150"/>
        </w:tabs>
        <w:spacing w:before="0" w:beforeAutospacing="0" w:after="0" w:afterAutospacing="0"/>
        <w:ind w:right="504"/>
        <w:jc w:val="both"/>
        <w:rPr>
          <w:lang w:val="fr-FR"/>
        </w:rPr>
      </w:pPr>
      <w:r w:rsidRPr="00DF4423">
        <w:rPr>
          <w:lang w:val="fr-FR"/>
        </w:rPr>
        <w:t xml:space="preserve">Rapport d’analyse de la performance </w:t>
      </w:r>
    </w:p>
    <w:p w:rsidR="0008141E" w:rsidRPr="00DF4423" w:rsidRDefault="0008141E" w:rsidP="0008141E">
      <w:pPr>
        <w:pStyle w:val="NormalWeb"/>
        <w:numPr>
          <w:ilvl w:val="0"/>
          <w:numId w:val="2"/>
        </w:numPr>
        <w:tabs>
          <w:tab w:val="left" w:pos="3150"/>
        </w:tabs>
        <w:spacing w:before="0" w:beforeAutospacing="0" w:after="0" w:afterAutospacing="0"/>
        <w:ind w:right="504"/>
        <w:jc w:val="both"/>
        <w:rPr>
          <w:lang w:val="fr-FR"/>
        </w:rPr>
      </w:pPr>
      <w:r w:rsidRPr="00DF4423">
        <w:rPr>
          <w:lang w:val="fr-FR"/>
        </w:rPr>
        <w:t>Rapports d’activités réalisées sur le terrain à soumettre le 25 du mois</w:t>
      </w:r>
    </w:p>
    <w:p w:rsidR="008827AF" w:rsidRPr="00DF4423" w:rsidRDefault="0008141E" w:rsidP="0008141E">
      <w:pPr>
        <w:pStyle w:val="ListParagraph"/>
        <w:numPr>
          <w:ilvl w:val="0"/>
          <w:numId w:val="2"/>
        </w:numPr>
        <w:tabs>
          <w:tab w:val="left" w:pos="3150"/>
        </w:tabs>
        <w:ind w:right="504"/>
        <w:jc w:val="both"/>
        <w:rPr>
          <w:lang w:val="fr-FR"/>
        </w:rPr>
      </w:pPr>
      <w:r w:rsidRPr="00DF4423">
        <w:rPr>
          <w:lang w:val="fr-FR"/>
        </w:rPr>
        <w:t>Plan et Outils de gestion de la performance Participer aux réunions avec les partenaires</w:t>
      </w:r>
    </w:p>
    <w:p w:rsidR="008827AF" w:rsidRDefault="0008141E" w:rsidP="0008141E">
      <w:pPr>
        <w:pStyle w:val="Heading1"/>
        <w:rPr>
          <w:lang w:val="fr-FR"/>
        </w:rPr>
      </w:pPr>
      <w:r>
        <w:rPr>
          <w:lang w:val="fr-FR"/>
        </w:rPr>
        <w:t xml:space="preserve">Profil recherché </w:t>
      </w:r>
    </w:p>
    <w:p w:rsidR="0008141E" w:rsidRDefault="0008141E" w:rsidP="008827AF">
      <w:pPr>
        <w:pStyle w:val="NormalWeb"/>
        <w:tabs>
          <w:tab w:val="left" w:pos="3150"/>
        </w:tabs>
        <w:spacing w:before="0" w:beforeAutospacing="0" w:after="0" w:afterAutospacing="0"/>
        <w:ind w:right="504"/>
        <w:jc w:val="both"/>
        <w:rPr>
          <w:rFonts w:ascii="Tw Cen MT" w:hAnsi="Tw Cen MT"/>
          <w:lang w:val="fr-FR"/>
        </w:rPr>
      </w:pP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 xml:space="preserve">Bac plus 5 </w:t>
      </w:r>
      <w:r w:rsidR="003A6658" w:rsidRPr="00DF4423">
        <w:rPr>
          <w:lang w:val="fr-FR"/>
        </w:rPr>
        <w:t>minimums</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 xml:space="preserve">Diplôme dans les domaines : Médecine, Santé publique, Sciences Sociales ou Gestion </w:t>
      </w:r>
    </w:p>
    <w:p w:rsidR="00CE3D8F" w:rsidRPr="00DF4423" w:rsidRDefault="0008141E" w:rsidP="00CE3D8F">
      <w:pPr>
        <w:pStyle w:val="NormalWeb"/>
        <w:numPr>
          <w:ilvl w:val="0"/>
          <w:numId w:val="3"/>
        </w:numPr>
        <w:tabs>
          <w:tab w:val="left" w:pos="3150"/>
        </w:tabs>
        <w:spacing w:before="0" w:beforeAutospacing="0" w:after="0" w:afterAutospacing="0"/>
        <w:ind w:right="504"/>
        <w:jc w:val="both"/>
        <w:rPr>
          <w:lang w:val="fr-FR"/>
        </w:rPr>
      </w:pPr>
      <w:r w:rsidRPr="00DF4423">
        <w:rPr>
          <w:lang w:val="fr-FR"/>
        </w:rPr>
        <w:t xml:space="preserve">Formation en gestion de </w:t>
      </w:r>
      <w:r w:rsidR="003A6658" w:rsidRPr="00DF4423">
        <w:rPr>
          <w:lang w:val="fr-FR"/>
        </w:rPr>
        <w:t>projet (</w:t>
      </w:r>
      <w:r w:rsidR="00CE3D8F" w:rsidRPr="00DF4423">
        <w:rPr>
          <w:lang w:val="fr-FR"/>
        </w:rPr>
        <w:t>un atout)</w:t>
      </w:r>
    </w:p>
    <w:p w:rsidR="0008141E" w:rsidRPr="00DF4423" w:rsidRDefault="00CE3D8F" w:rsidP="00CE3D8F">
      <w:pPr>
        <w:pStyle w:val="NormalWeb"/>
        <w:numPr>
          <w:ilvl w:val="0"/>
          <w:numId w:val="3"/>
        </w:numPr>
        <w:tabs>
          <w:tab w:val="left" w:pos="3150"/>
        </w:tabs>
        <w:spacing w:before="0" w:beforeAutospacing="0" w:after="0" w:afterAutospacing="0"/>
        <w:ind w:right="504"/>
        <w:jc w:val="both"/>
        <w:rPr>
          <w:lang w:val="fr-FR"/>
        </w:rPr>
      </w:pPr>
      <w:r w:rsidRPr="00DF4423">
        <w:rPr>
          <w:lang w:val="fr-FR"/>
        </w:rPr>
        <w:t xml:space="preserve">Connaissance en suivi et d’évaluation </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 xml:space="preserve">Bonne connaissance des organisations locales </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Maitrise du Français (capacités de rédaction de document analytiques)</w:t>
      </w:r>
    </w:p>
    <w:p w:rsidR="00CE3D8F" w:rsidRPr="00DF4423" w:rsidRDefault="00CE3D8F"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Capacité de production scientifique (document d’analyse)</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Expérience en gestion des programmes de santé minimum 3 ans</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 xml:space="preserve">Expérience en accompagnement technique ou renforcement de capacités </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Expérience de travail avec le Fond mondial ou PEPFAR (un atout)</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Disponibilité immédiate</w:t>
      </w:r>
      <w:r w:rsidR="00F95C12" w:rsidRPr="00DF4423">
        <w:rPr>
          <w:lang w:val="fr-FR"/>
        </w:rPr>
        <w:t xml:space="preserve"> à </w:t>
      </w:r>
      <w:bookmarkStart w:id="0" w:name="_GoBack"/>
      <w:bookmarkEnd w:id="0"/>
      <w:r w:rsidR="00F95C12" w:rsidRPr="00DF4423">
        <w:rPr>
          <w:lang w:val="fr-FR"/>
        </w:rPr>
        <w:t xml:space="preserve">travailler à plein temps </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 xml:space="preserve">Capacité à travailler sous pression </w:t>
      </w:r>
    </w:p>
    <w:p w:rsidR="0008141E" w:rsidRPr="00DF4423" w:rsidRDefault="0008141E" w:rsidP="0008141E">
      <w:pPr>
        <w:pStyle w:val="NormalWeb"/>
        <w:numPr>
          <w:ilvl w:val="0"/>
          <w:numId w:val="3"/>
        </w:numPr>
        <w:tabs>
          <w:tab w:val="left" w:pos="3150"/>
        </w:tabs>
        <w:spacing w:before="0" w:beforeAutospacing="0" w:after="0" w:afterAutospacing="0"/>
        <w:ind w:right="504"/>
        <w:jc w:val="both"/>
        <w:rPr>
          <w:lang w:val="fr-FR"/>
        </w:rPr>
      </w:pPr>
      <w:r w:rsidRPr="00DF4423">
        <w:rPr>
          <w:lang w:val="fr-FR"/>
        </w:rPr>
        <w:t>Disponibilité à travailler sur le terrain (1/3 du temps)</w:t>
      </w:r>
    </w:p>
    <w:p w:rsidR="0008141E" w:rsidRDefault="0008141E" w:rsidP="008827AF">
      <w:pPr>
        <w:pStyle w:val="NormalWeb"/>
        <w:tabs>
          <w:tab w:val="left" w:pos="3150"/>
        </w:tabs>
        <w:spacing w:before="0" w:beforeAutospacing="0" w:after="0" w:afterAutospacing="0"/>
        <w:ind w:right="504"/>
        <w:jc w:val="both"/>
        <w:rPr>
          <w:rFonts w:ascii="Tw Cen MT" w:hAnsi="Tw Cen MT"/>
          <w:lang w:val="fr-FR"/>
        </w:rPr>
      </w:pPr>
    </w:p>
    <w:p w:rsidR="00AE016D" w:rsidRDefault="00AE016D">
      <w:pPr>
        <w:rPr>
          <w:lang w:val="fr-FR"/>
        </w:rPr>
      </w:pPr>
    </w:p>
    <w:p w:rsidR="003A6658" w:rsidRPr="003A6658" w:rsidRDefault="003A6658" w:rsidP="003A6658">
      <w:pPr>
        <w:jc w:val="both"/>
        <w:rPr>
          <w:b/>
          <w:i/>
          <w:lang w:val="fr-FR"/>
        </w:rPr>
      </w:pPr>
      <w:r w:rsidRPr="003A6658">
        <w:rPr>
          <w:b/>
          <w:i/>
          <w:lang w:val="fr-FR"/>
        </w:rPr>
        <w:t xml:space="preserve">Les intéressés devront acheminer leurs candidatures via l’adresse courriel  </w:t>
      </w:r>
      <w:hyperlink r:id="rId9" w:history="1">
        <w:r w:rsidRPr="003A6658">
          <w:rPr>
            <w:rStyle w:val="Hyperlink"/>
            <w:b/>
            <w:i/>
            <w:shd w:val="clear" w:color="auto" w:fill="FFFFFF"/>
            <w:lang w:val="fr-FR"/>
          </w:rPr>
          <w:t>mspprecrutmentucmit@gmail.com</w:t>
        </w:r>
      </w:hyperlink>
      <w:r w:rsidRPr="003A6658">
        <w:rPr>
          <w:b/>
          <w:i/>
          <w:color w:val="000000" w:themeColor="text1"/>
          <w:shd w:val="clear" w:color="auto" w:fill="FFFFFF"/>
          <w:lang w:val="fr-FR"/>
        </w:rPr>
        <w:t xml:space="preserve"> en fichiers joints le curriculum et la lettre de motivation indiquant le titre du poste.</w:t>
      </w:r>
    </w:p>
    <w:p w:rsidR="003A6658" w:rsidRPr="003A6658" w:rsidRDefault="003A6658" w:rsidP="003A6658">
      <w:pPr>
        <w:jc w:val="both"/>
        <w:rPr>
          <w:b/>
          <w:i/>
          <w:lang w:val="fr-FR"/>
        </w:rPr>
      </w:pPr>
      <w:r w:rsidRPr="003A6658">
        <w:rPr>
          <w:b/>
          <w:i/>
          <w:lang w:val="fr-FR"/>
        </w:rPr>
        <w:t>Le délai pour les dépôts de candidature est fixé du 26</w:t>
      </w:r>
      <w:r w:rsidR="00DF4423">
        <w:rPr>
          <w:b/>
          <w:i/>
          <w:lang w:val="fr-FR"/>
        </w:rPr>
        <w:t xml:space="preserve"> au 02 juillet 2019.</w:t>
      </w:r>
    </w:p>
    <w:sectPr w:rsidR="003A6658" w:rsidRPr="003A6658" w:rsidSect="00AE01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2B6C" w:rsidRDefault="00E12B6C" w:rsidP="00F95C12">
      <w:r>
        <w:separator/>
      </w:r>
    </w:p>
  </w:endnote>
  <w:endnote w:type="continuationSeparator" w:id="1">
    <w:p w:rsidR="00E12B6C" w:rsidRDefault="00E12B6C" w:rsidP="00F95C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2B6C" w:rsidRDefault="00E12B6C" w:rsidP="00F95C12">
      <w:r>
        <w:separator/>
      </w:r>
    </w:p>
  </w:footnote>
  <w:footnote w:type="continuationSeparator" w:id="1">
    <w:p w:rsidR="00E12B6C" w:rsidRDefault="00E12B6C" w:rsidP="00F95C12">
      <w:r>
        <w:continuationSeparator/>
      </w:r>
    </w:p>
  </w:footnote>
  <w:footnote w:id="2">
    <w:p w:rsidR="00F95C12" w:rsidRPr="00F95C12" w:rsidRDefault="00F95C12">
      <w:pPr>
        <w:pStyle w:val="FootnoteText"/>
        <w:rPr>
          <w:sz w:val="20"/>
          <w:lang w:val="fr-FR"/>
        </w:rPr>
      </w:pPr>
      <w:r w:rsidRPr="00F95C12">
        <w:rPr>
          <w:rStyle w:val="FootnoteReference"/>
          <w:lang w:val="fr-FR"/>
        </w:rPr>
        <w:footnoteRef/>
      </w:r>
      <w:r w:rsidRPr="00F95C12">
        <w:rPr>
          <w:sz w:val="20"/>
          <w:lang w:val="fr-FR"/>
        </w:rPr>
        <w:t xml:space="preserve">PNCM </w:t>
      </w:r>
      <w:r w:rsidRPr="00F95C12">
        <w:rPr>
          <w:sz w:val="20"/>
          <w:lang w:val="fr-FR"/>
        </w:rPr>
        <w:tab/>
        <w:t xml:space="preserve">: Programme national de contrôle de la malaria, </w:t>
      </w:r>
    </w:p>
    <w:p w:rsidR="00F95C12" w:rsidRPr="00F95C12" w:rsidRDefault="00F95C12">
      <w:pPr>
        <w:pStyle w:val="FootnoteText"/>
        <w:rPr>
          <w:sz w:val="20"/>
          <w:lang w:val="fr-FR"/>
        </w:rPr>
      </w:pPr>
      <w:r w:rsidRPr="00F95C12">
        <w:rPr>
          <w:sz w:val="20"/>
          <w:lang w:val="fr-FR"/>
        </w:rPr>
        <w:t xml:space="preserve"> PNLS </w:t>
      </w:r>
      <w:r w:rsidRPr="00F95C12">
        <w:rPr>
          <w:sz w:val="20"/>
          <w:lang w:val="fr-FR"/>
        </w:rPr>
        <w:tab/>
        <w:t xml:space="preserve">: Programme nationale de lutte Contre le Sida, </w:t>
      </w:r>
    </w:p>
    <w:p w:rsidR="00F95C12" w:rsidRPr="00F95C12" w:rsidRDefault="00F95C12">
      <w:pPr>
        <w:pStyle w:val="FootnoteText"/>
        <w:rPr>
          <w:sz w:val="20"/>
          <w:lang w:val="fr-FR"/>
        </w:rPr>
      </w:pPr>
      <w:r w:rsidRPr="00F95C12">
        <w:rPr>
          <w:sz w:val="20"/>
          <w:lang w:val="fr-FR"/>
        </w:rPr>
        <w:t xml:space="preserve"> PNLT</w:t>
      </w:r>
      <w:r w:rsidRPr="00F95C12">
        <w:rPr>
          <w:sz w:val="20"/>
          <w:lang w:val="fr-FR"/>
        </w:rPr>
        <w:tab/>
        <w:t xml:space="preserve">: Programme national de lutte contre la Tuberculose </w:t>
      </w:r>
    </w:p>
  </w:footnote>
  <w:footnote w:id="3">
    <w:p w:rsidR="00F95C12" w:rsidRPr="00591FAE" w:rsidRDefault="00F95C12">
      <w:pPr>
        <w:pStyle w:val="FootnoteText"/>
        <w:rPr>
          <w:lang w:val="fr-FR"/>
        </w:rPr>
      </w:pPr>
      <w:r w:rsidRPr="00F95C12">
        <w:rPr>
          <w:rStyle w:val="FootnoteReference"/>
          <w:lang w:val="fr-FR"/>
        </w:rPr>
        <w:footnoteRef/>
      </w:r>
      <w:r w:rsidRPr="00F95C12">
        <w:rPr>
          <w:sz w:val="20"/>
          <w:szCs w:val="20"/>
          <w:lang w:val="fr-FR"/>
        </w:rPr>
        <w:t>CCM</w:t>
      </w:r>
      <w:r w:rsidRPr="00F95C12">
        <w:rPr>
          <w:sz w:val="20"/>
          <w:szCs w:val="20"/>
          <w:lang w:val="fr-FR"/>
        </w:rPr>
        <w:tab/>
        <w:t>: Comité de coordination multisectoriel du Fond Mondial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73C"/>
    <w:multiLevelType w:val="hybridMultilevel"/>
    <w:tmpl w:val="BEE292EE"/>
    <w:lvl w:ilvl="0" w:tplc="D6BC80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261CE2"/>
    <w:multiLevelType w:val="hybridMultilevel"/>
    <w:tmpl w:val="99640A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BCD66ED"/>
    <w:multiLevelType w:val="hybridMultilevel"/>
    <w:tmpl w:val="AF9A3E5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42487FBB"/>
    <w:multiLevelType w:val="hybridMultilevel"/>
    <w:tmpl w:val="65FAAC14"/>
    <w:lvl w:ilvl="0" w:tplc="0409000F">
      <w:start w:val="1"/>
      <w:numFmt w:val="decimal"/>
      <w:lvlText w:val="%1."/>
      <w:lvlJc w:val="left"/>
      <w:pPr>
        <w:ind w:left="540" w:hanging="360"/>
      </w:pPr>
    </w:lvl>
    <w:lvl w:ilvl="1" w:tplc="F43A07F6">
      <w:start w:val="2"/>
      <w:numFmt w:val="bullet"/>
      <w:lvlText w:val="•"/>
      <w:lvlJc w:val="left"/>
      <w:pPr>
        <w:ind w:left="1260" w:hanging="360"/>
      </w:pPr>
      <w:rPr>
        <w:rFonts w:ascii="Times New Roman" w:eastAsia="Times New Roman"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8827AF"/>
    <w:rsid w:val="0008141E"/>
    <w:rsid w:val="00126522"/>
    <w:rsid w:val="00167E7B"/>
    <w:rsid w:val="00225B96"/>
    <w:rsid w:val="00235B96"/>
    <w:rsid w:val="00323501"/>
    <w:rsid w:val="003A6658"/>
    <w:rsid w:val="003B7D64"/>
    <w:rsid w:val="00573FDB"/>
    <w:rsid w:val="00591FAE"/>
    <w:rsid w:val="008827AF"/>
    <w:rsid w:val="008877C4"/>
    <w:rsid w:val="00AE016D"/>
    <w:rsid w:val="00C47A9A"/>
    <w:rsid w:val="00CE3D8F"/>
    <w:rsid w:val="00D34481"/>
    <w:rsid w:val="00DF4423"/>
    <w:rsid w:val="00E12B6C"/>
    <w:rsid w:val="00EE1CCB"/>
    <w:rsid w:val="00F50E96"/>
    <w:rsid w:val="00F95C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7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814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7AF"/>
    <w:pPr>
      <w:ind w:left="720"/>
      <w:contextualSpacing/>
    </w:pPr>
  </w:style>
  <w:style w:type="paragraph" w:styleId="NormalWeb">
    <w:name w:val="Normal (Web)"/>
    <w:basedOn w:val="Normal"/>
    <w:uiPriority w:val="99"/>
    <w:unhideWhenUsed/>
    <w:rsid w:val="008827AF"/>
    <w:pPr>
      <w:spacing w:before="100" w:beforeAutospacing="1" w:after="100" w:afterAutospacing="1"/>
    </w:pPr>
  </w:style>
  <w:style w:type="character" w:customStyle="1" w:styleId="Heading1Char">
    <w:name w:val="Heading 1 Char"/>
    <w:basedOn w:val="DefaultParagraphFont"/>
    <w:link w:val="Heading1"/>
    <w:uiPriority w:val="9"/>
    <w:rsid w:val="0008141E"/>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08141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141E"/>
    <w:rPr>
      <w:rFonts w:asciiTheme="majorHAnsi" w:eastAsiaTheme="majorEastAsia" w:hAnsiTheme="majorHAnsi" w:cstheme="majorBidi"/>
      <w:spacing w:val="-10"/>
      <w:kern w:val="28"/>
      <w:sz w:val="56"/>
      <w:szCs w:val="56"/>
    </w:rPr>
  </w:style>
  <w:style w:type="paragraph" w:styleId="FootnoteText">
    <w:name w:val="footnote text"/>
    <w:basedOn w:val="Normal"/>
    <w:link w:val="FootnoteTextChar"/>
    <w:uiPriority w:val="99"/>
    <w:unhideWhenUsed/>
    <w:rsid w:val="00F95C12"/>
  </w:style>
  <w:style w:type="character" w:customStyle="1" w:styleId="FootnoteTextChar">
    <w:name w:val="Footnote Text Char"/>
    <w:basedOn w:val="DefaultParagraphFont"/>
    <w:link w:val="FootnoteText"/>
    <w:uiPriority w:val="99"/>
    <w:rsid w:val="00F95C12"/>
    <w:rPr>
      <w:rFonts w:ascii="Times New Roman" w:eastAsia="Times New Roman" w:hAnsi="Times New Roman" w:cs="Times New Roman"/>
      <w:sz w:val="24"/>
      <w:szCs w:val="24"/>
    </w:rPr>
  </w:style>
  <w:style w:type="character" w:styleId="FootnoteReference">
    <w:name w:val="footnote reference"/>
    <w:basedOn w:val="DefaultParagraphFont"/>
    <w:uiPriority w:val="99"/>
    <w:unhideWhenUsed/>
    <w:rsid w:val="00F95C12"/>
    <w:rPr>
      <w:vertAlign w:val="superscript"/>
    </w:rPr>
  </w:style>
  <w:style w:type="character" w:styleId="Hyperlink">
    <w:name w:val="Hyperlink"/>
    <w:basedOn w:val="DefaultParagraphFont"/>
    <w:uiPriority w:val="99"/>
    <w:unhideWhenUsed/>
    <w:rsid w:val="003A66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spprecrutmentucmi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27A420-562D-C146-AE21-F8D72F1A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Docfafa</dc:creator>
  <cp:lastModifiedBy>VIP</cp:lastModifiedBy>
  <cp:revision>2</cp:revision>
  <cp:lastPrinted>2019-06-25T22:38:00Z</cp:lastPrinted>
  <dcterms:created xsi:type="dcterms:W3CDTF">2019-06-27T12:03:00Z</dcterms:created>
  <dcterms:modified xsi:type="dcterms:W3CDTF">2019-06-27T12:03:00Z</dcterms:modified>
</cp:coreProperties>
</file>