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7C6B5" w14:textId="6E506A0F" w:rsidR="00EC1322" w:rsidRPr="004938D7" w:rsidRDefault="00637065" w:rsidP="00EC1322">
      <w:pPr>
        <w:jc w:val="center"/>
        <w:rPr>
          <w:rFonts w:ascii="Times New Roman" w:hAnsi="Times New Roman" w:cs="Times New Roman"/>
          <w:b/>
          <w:sz w:val="28"/>
        </w:rPr>
      </w:pPr>
      <w:bookmarkStart w:id="0" w:name="_Hlk517717437"/>
      <w:bookmarkStart w:id="1" w:name="_GoBack"/>
      <w:bookmarkEnd w:id="1"/>
      <w:r>
        <w:rPr>
          <w:rFonts w:ascii="Times New Roman" w:eastAsia="Times New Roman" w:hAnsi="Times New Roman" w:cs="Times New Roman"/>
          <w:b/>
          <w:bCs/>
          <w:sz w:val="28"/>
          <w:szCs w:val="28"/>
          <w:bdr w:val="nil"/>
          <w:lang w:val="fr-FR"/>
        </w:rPr>
        <w:t>SECTION 31 23 00</w:t>
      </w:r>
    </w:p>
    <w:p w14:paraId="5C6EF4B4" w14:textId="255A82DB" w:rsidR="00543381" w:rsidRPr="004938D7" w:rsidRDefault="00637065" w:rsidP="00543381">
      <w:pPr>
        <w:jc w:val="center"/>
        <w:rPr>
          <w:rFonts w:ascii="Times New Roman" w:hAnsi="Times New Roman" w:cs="Times New Roman"/>
          <w:b/>
          <w:sz w:val="28"/>
          <w:szCs w:val="28"/>
        </w:rPr>
      </w:pPr>
      <w:r>
        <w:rPr>
          <w:rFonts w:ascii="Times New Roman" w:eastAsia="Times New Roman" w:hAnsi="Times New Roman" w:cs="Times New Roman"/>
          <w:b/>
          <w:bCs/>
          <w:sz w:val="28"/>
          <w:szCs w:val="28"/>
          <w:bdr w:val="nil"/>
          <w:lang w:val="fr-FR"/>
        </w:rPr>
        <w:t>EXCAVATION ET REMBLAYAGE</w:t>
      </w:r>
    </w:p>
    <w:bookmarkEnd w:id="0"/>
    <w:p w14:paraId="0C9D8C46" w14:textId="108018D7" w:rsidR="007E5FDA" w:rsidRPr="00154872" w:rsidRDefault="00637065" w:rsidP="007E5FDA">
      <w:pPr>
        <w:spacing w:after="0"/>
        <w:rPr>
          <w:rFonts w:ascii="Times New Roman" w:hAnsi="Times New Roman" w:cs="Times New Roman"/>
          <w:b/>
          <w:color w:val="000000" w:themeColor="text1"/>
          <w:sz w:val="24"/>
          <w:szCs w:val="24"/>
        </w:rPr>
      </w:pPr>
      <w:r>
        <w:rPr>
          <w:rFonts w:ascii="Times New Roman" w:eastAsia="Times New Roman" w:hAnsi="Times New Roman" w:cs="Times New Roman"/>
          <w:b/>
          <w:bCs/>
          <w:sz w:val="24"/>
          <w:szCs w:val="24"/>
          <w:bdr w:val="nil"/>
          <w:lang w:val="fr-FR"/>
        </w:rPr>
        <w:t>PA</w:t>
      </w:r>
      <w:r>
        <w:rPr>
          <w:rFonts w:ascii="Times New Roman" w:eastAsia="Times New Roman" w:hAnsi="Times New Roman" w:cs="Times New Roman"/>
          <w:b/>
          <w:bCs/>
          <w:color w:val="000000"/>
          <w:sz w:val="24"/>
          <w:szCs w:val="24"/>
          <w:bdr w:val="nil"/>
          <w:lang w:val="fr-FR"/>
        </w:rPr>
        <w:t>RTIE 1 - GÉNÉRAL</w:t>
      </w:r>
    </w:p>
    <w:p w14:paraId="1D45B32B" w14:textId="6FBEB686" w:rsidR="007E5FDA" w:rsidRDefault="007E5FDA" w:rsidP="007E5FDA">
      <w:pPr>
        <w:spacing w:after="0"/>
        <w:rPr>
          <w:rFonts w:ascii="Times New Roman" w:hAnsi="Times New Roman" w:cs="Times New Roman"/>
          <w:b/>
          <w:color w:val="000000" w:themeColor="text1"/>
        </w:rPr>
      </w:pPr>
    </w:p>
    <w:p w14:paraId="742DC5AC" w14:textId="714A6C9A" w:rsidR="004D0F1D" w:rsidRPr="007E5FDA" w:rsidRDefault="00637065" w:rsidP="00A93852">
      <w:pPr>
        <w:pStyle w:val="Heading1"/>
        <w:keepNext w:val="0"/>
        <w:keepLines w:val="0"/>
        <w:numPr>
          <w:ilvl w:val="0"/>
          <w:numId w:val="1"/>
        </w:numPr>
        <w:spacing w:before="120"/>
        <w:ind w:left="450" w:hanging="450"/>
        <w:rPr>
          <w:rFonts w:ascii="Times New Roman" w:hAnsi="Times New Roman" w:cs="Times New Roman"/>
          <w:b/>
        </w:rPr>
      </w:pPr>
      <w:r>
        <w:rPr>
          <w:rFonts w:ascii="Cambria" w:eastAsia="Cambria" w:hAnsi="Cambria" w:cs="Cambria"/>
          <w:color w:val="000000"/>
          <w:bdr w:val="nil"/>
          <w:lang w:val="fr-FR"/>
        </w:rPr>
        <w:t>RÉSUMÉ</w:t>
      </w:r>
    </w:p>
    <w:p w14:paraId="45E31958" w14:textId="78608C1F" w:rsidR="00F502B8" w:rsidRPr="00F502B8" w:rsidRDefault="00637065" w:rsidP="00470FA9">
      <w:pPr>
        <w:pStyle w:val="Heading2"/>
        <w:keepNext w:val="0"/>
        <w:keepLines w:val="0"/>
        <w:numPr>
          <w:ilvl w:val="1"/>
          <w:numId w:val="7"/>
        </w:numPr>
      </w:pPr>
      <w:r>
        <w:rPr>
          <w:rFonts w:ascii="Cambria" w:eastAsia="Cambria" w:hAnsi="Cambria" w:cs="Cambria"/>
          <w:color w:val="000000"/>
          <w:szCs w:val="24"/>
          <w:bdr w:val="nil"/>
          <w:lang w:val="fr-FR"/>
        </w:rPr>
        <w:t>Cette section comprend</w:t>
      </w:r>
      <w:bookmarkStart w:id="2" w:name="_Hlk5281389"/>
      <w:r>
        <w:rPr>
          <w:rFonts w:ascii="Cambria" w:eastAsia="Cambria" w:hAnsi="Cambria" w:cs="Cambria"/>
          <w:color w:val="000000"/>
          <w:szCs w:val="24"/>
          <w:bdr w:val="nil"/>
          <w:lang w:val="fr-FR"/>
        </w:rPr>
        <w:t xml:space="preserve"> </w:t>
      </w:r>
      <w:r>
        <w:rPr>
          <w:rFonts w:ascii="Cambria" w:eastAsia="Cambria" w:hAnsi="Cambria" w:cs="Cambria"/>
          <w:color w:val="auto"/>
          <w:szCs w:val="24"/>
          <w:bdr w:val="nil"/>
          <w:lang w:val="fr-FR"/>
        </w:rPr>
        <w:t>toute la main-d'œuvre, le matériel et l'équipement nécessaires à l'excavation, remblayage</w:t>
      </w:r>
      <w:bookmarkEnd w:id="2"/>
      <w:r>
        <w:rPr>
          <w:rFonts w:ascii="Cambria" w:eastAsia="Cambria" w:hAnsi="Cambria" w:cs="Cambria"/>
          <w:color w:val="auto"/>
          <w:szCs w:val="24"/>
          <w:bdr w:val="nil"/>
          <w:lang w:val="fr-FR"/>
        </w:rPr>
        <w:t>, nivellement et compactage de matériaux granulaires pour r</w:t>
      </w:r>
      <w:r>
        <w:rPr>
          <w:rFonts w:ascii="Cambria" w:eastAsia="Cambria" w:hAnsi="Cambria" w:cs="Cambria"/>
          <w:color w:val="auto"/>
          <w:szCs w:val="24"/>
          <w:bdr w:val="nil"/>
          <w:lang w:val="fr-FR"/>
        </w:rPr>
        <w:t>emblai de charpente en acier,</w:t>
      </w:r>
      <w:r>
        <w:rPr>
          <w:rFonts w:ascii="Cambria" w:eastAsia="Cambria" w:hAnsi="Cambria" w:cs="Cambria"/>
          <w:color w:val="000000"/>
          <w:szCs w:val="24"/>
          <w:bdr w:val="nil"/>
          <w:lang w:val="fr-FR"/>
        </w:rPr>
        <w:t xml:space="preserve"> remplissage de conduit et de tranchée</w:t>
      </w:r>
    </w:p>
    <w:p w14:paraId="05150D3E" w14:textId="0295BF93" w:rsidR="006E2E46" w:rsidRDefault="00637065" w:rsidP="00510248">
      <w:pPr>
        <w:pStyle w:val="Heading3"/>
        <w:keepNext w:val="0"/>
        <w:keepLines w:val="0"/>
        <w:numPr>
          <w:ilvl w:val="0"/>
          <w:numId w:val="1"/>
        </w:numPr>
        <w:spacing w:before="120"/>
        <w:ind w:left="450" w:hanging="450"/>
      </w:pPr>
      <w:r>
        <w:rPr>
          <w:rFonts w:ascii="Cambria" w:eastAsia="Cambria" w:hAnsi="Cambria" w:cs="Cambria"/>
          <w:color w:val="000000"/>
          <w:bdr w:val="nil"/>
          <w:lang w:val="fr-FR"/>
        </w:rPr>
        <w:t xml:space="preserve"> PRIX ET MODALITÉS DE PAIEMENT</w:t>
      </w:r>
    </w:p>
    <w:p w14:paraId="0DF30628" w14:textId="04CABA98" w:rsidR="0091741F" w:rsidRPr="00981C98" w:rsidRDefault="00637065" w:rsidP="0091741F">
      <w:pPr>
        <w:pStyle w:val="Heading1"/>
        <w:numPr>
          <w:ilvl w:val="1"/>
          <w:numId w:val="1"/>
        </w:numPr>
        <w:jc w:val="both"/>
        <w:rPr>
          <w:rFonts w:cs="Times New Roman"/>
          <w:color w:val="auto"/>
        </w:rPr>
      </w:pPr>
      <w:r>
        <w:rPr>
          <w:rFonts w:ascii="Cambria" w:eastAsia="Cambria" w:hAnsi="Cambria" w:cs="Cambria"/>
          <w:color w:val="000000"/>
          <w:bdr w:val="nil"/>
          <w:lang w:val="fr-FR"/>
        </w:rPr>
        <w:t xml:space="preserve"> </w:t>
      </w:r>
      <w:r>
        <w:rPr>
          <w:rFonts w:ascii="Cambria" w:eastAsia="Cambria" w:hAnsi="Cambria" w:cs="Cambria"/>
          <w:color w:val="auto"/>
          <w:bdr w:val="nil"/>
          <w:lang w:val="fr-FR"/>
        </w:rPr>
        <w:t>Le prix unitaire comprend les éléments décrits à la section 00 70 00.</w:t>
      </w:r>
    </w:p>
    <w:p w14:paraId="342000E2" w14:textId="14F5C947" w:rsidR="006E2E46" w:rsidRPr="00981C98" w:rsidRDefault="00637065" w:rsidP="0042310C">
      <w:pPr>
        <w:pStyle w:val="Heading1"/>
        <w:numPr>
          <w:ilvl w:val="1"/>
          <w:numId w:val="1"/>
        </w:numPr>
        <w:jc w:val="both"/>
        <w:rPr>
          <w:rFonts w:cs="Times New Roman"/>
          <w:color w:val="auto"/>
        </w:rPr>
      </w:pPr>
      <w:r>
        <w:rPr>
          <w:rFonts w:ascii="Cambria" w:eastAsia="Cambria" w:hAnsi="Cambria" w:cs="Cambria"/>
          <w:color w:val="auto"/>
          <w:bdr w:val="nil"/>
          <w:lang w:val="fr-FR"/>
        </w:rPr>
        <w:t>Les mesures doivent être en mètres cubes (m3) de remblai de tranchée et/ou de remblai placé et compacté dans sa position finale. Le sous-traitant doit effectuer une étude topographique du site pour la ch</w:t>
      </w:r>
      <w:r>
        <w:rPr>
          <w:rFonts w:ascii="Cambria" w:eastAsia="Cambria" w:hAnsi="Cambria" w:cs="Cambria"/>
          <w:color w:val="auto"/>
          <w:bdr w:val="nil"/>
          <w:lang w:val="fr-FR"/>
        </w:rPr>
        <w:t>arpente en acier (le rack PV), ainsi que des tranchées de conduits, avant et après la mise en place, et doit fournir des calculs en utilisant la méthode de la section transversale en guise d'alternative pour soumettre une estimation pour mètres cubes de re</w:t>
      </w:r>
      <w:r>
        <w:rPr>
          <w:rFonts w:ascii="Cambria" w:eastAsia="Cambria" w:hAnsi="Cambria" w:cs="Cambria"/>
          <w:color w:val="auto"/>
          <w:bdr w:val="nil"/>
          <w:lang w:val="fr-FR"/>
        </w:rPr>
        <w:t>mblais placés.  L’excavation et l’élimination des matériaux excédentaires ne doivent pas être mesurés ni payés séparément, mais doivent être inclus dans le prix unitaire du contrat de l'offre « Excavation et remblayage », tel indiqué dans la présente secti</w:t>
      </w:r>
      <w:r>
        <w:rPr>
          <w:rFonts w:ascii="Cambria" w:eastAsia="Cambria" w:hAnsi="Cambria" w:cs="Cambria"/>
          <w:color w:val="auto"/>
          <w:bdr w:val="nil"/>
          <w:lang w:val="fr-FR"/>
        </w:rPr>
        <w:t>on. L'excavation de tranchée (y compris l'enlèvement de béton) et le remblayage aux intersections ne doivent pas être mesurés ni payés séparément, mais doivent être inclus dans le prix unitaire du contrat pour « Excavation et remblayage » tel décrit dans c</w:t>
      </w:r>
      <w:r>
        <w:rPr>
          <w:rFonts w:ascii="Cambria" w:eastAsia="Cambria" w:hAnsi="Cambria" w:cs="Cambria"/>
          <w:color w:val="auto"/>
          <w:bdr w:val="nil"/>
          <w:lang w:val="fr-FR"/>
        </w:rPr>
        <w:t xml:space="preserve">ette section. </w:t>
      </w:r>
    </w:p>
    <w:p w14:paraId="6B244251" w14:textId="39C082D1" w:rsidR="004D0F1D" w:rsidRDefault="00637065" w:rsidP="004D0F1D">
      <w:pPr>
        <w:pStyle w:val="Heading1"/>
        <w:keepNext w:val="0"/>
        <w:keepLines w:val="0"/>
        <w:numPr>
          <w:ilvl w:val="0"/>
          <w:numId w:val="1"/>
        </w:numPr>
        <w:ind w:left="450" w:hanging="450"/>
      </w:pPr>
      <w:r>
        <w:rPr>
          <w:rFonts w:ascii="Cambria" w:eastAsia="Cambria" w:hAnsi="Cambria" w:cs="Cambria"/>
          <w:color w:val="000000"/>
          <w:bdr w:val="nil"/>
          <w:lang w:val="fr-FR"/>
        </w:rPr>
        <w:t>SECTIONS CONNEXES</w:t>
      </w:r>
    </w:p>
    <w:p w14:paraId="32F5455D" w14:textId="77777777" w:rsidR="00B85558" w:rsidRDefault="00637065" w:rsidP="008472B7">
      <w:pPr>
        <w:pStyle w:val="Heading2"/>
        <w:keepNext w:val="0"/>
        <w:keepLines w:val="0"/>
        <w:numPr>
          <w:ilvl w:val="1"/>
          <w:numId w:val="5"/>
        </w:numPr>
        <w:ind w:left="1080" w:hanging="360"/>
      </w:pPr>
      <w:r>
        <w:rPr>
          <w:rFonts w:ascii="Cambria" w:eastAsia="Cambria" w:hAnsi="Cambria" w:cs="Cambria"/>
          <w:color w:val="000000"/>
          <w:szCs w:val="24"/>
          <w:bdr w:val="nil"/>
          <w:lang w:val="fr-FR"/>
        </w:rPr>
        <w:t>Section 00 70 00 Conditions générales et Contrat d'infrastructure</w:t>
      </w:r>
      <w:r>
        <w:rPr>
          <w:rFonts w:ascii="Cambria" w:eastAsia="Cambria" w:hAnsi="Cambria" w:cs="Cambria"/>
          <w:color w:val="000000"/>
          <w:szCs w:val="24"/>
          <w:bdr w:val="nil"/>
          <w:lang w:val="fr-FR"/>
        </w:rPr>
        <w:t xml:space="preserve"> en sous-traitance à prix fixe et prix unitaire fixe </w:t>
      </w:r>
    </w:p>
    <w:p w14:paraId="40421C18" w14:textId="77777777" w:rsidR="00DF5D9B" w:rsidRDefault="00637065" w:rsidP="008472B7">
      <w:pPr>
        <w:pStyle w:val="Heading2"/>
        <w:keepNext w:val="0"/>
        <w:keepLines w:val="0"/>
        <w:numPr>
          <w:ilvl w:val="1"/>
          <w:numId w:val="5"/>
        </w:numPr>
        <w:ind w:left="1080" w:hanging="360"/>
      </w:pPr>
      <w:r>
        <w:rPr>
          <w:rFonts w:ascii="Cambria" w:eastAsia="Cambria" w:hAnsi="Cambria" w:cs="Cambria"/>
          <w:color w:val="000000"/>
          <w:szCs w:val="24"/>
          <w:bdr w:val="nil"/>
          <w:lang w:val="fr-FR"/>
        </w:rPr>
        <w:t>01 74 00 Nettoyage et gestion des déchets.</w:t>
      </w:r>
    </w:p>
    <w:p w14:paraId="7D101AD1" w14:textId="42D49E61" w:rsidR="00FF713F" w:rsidRPr="00FF713F" w:rsidRDefault="00637065" w:rsidP="00FF713F">
      <w:pPr>
        <w:pStyle w:val="Heading2"/>
        <w:keepNext w:val="0"/>
        <w:keepLines w:val="0"/>
        <w:numPr>
          <w:ilvl w:val="1"/>
          <w:numId w:val="5"/>
        </w:numPr>
        <w:ind w:left="1080" w:hanging="360"/>
      </w:pPr>
      <w:r>
        <w:rPr>
          <w:rFonts w:ascii="Cambria" w:eastAsia="Cambria" w:hAnsi="Cambria" w:cs="Cambria"/>
          <w:color w:val="000000"/>
          <w:szCs w:val="24"/>
          <w:bdr w:val="nil"/>
          <w:lang w:val="fr-FR"/>
        </w:rPr>
        <w:t xml:space="preserve"> </w:t>
      </w:r>
      <w:r>
        <w:rPr>
          <w:rFonts w:ascii="Cambria" w:eastAsia="Cambria" w:hAnsi="Cambria" w:cs="Cambria"/>
          <w:color w:val="000000"/>
          <w:szCs w:val="24"/>
          <w:bdr w:val="nil"/>
          <w:lang w:val="fr-FR"/>
        </w:rPr>
        <w:t>31 11 00 Dégagement et arrachage</w:t>
      </w:r>
    </w:p>
    <w:p w14:paraId="510C36D6" w14:textId="3EE87437" w:rsidR="004D0F1D" w:rsidRDefault="00637065" w:rsidP="004D0F1D">
      <w:pPr>
        <w:pStyle w:val="Heading1"/>
        <w:keepNext w:val="0"/>
        <w:keepLines w:val="0"/>
        <w:numPr>
          <w:ilvl w:val="0"/>
          <w:numId w:val="1"/>
        </w:numPr>
        <w:ind w:left="450" w:hanging="450"/>
      </w:pPr>
      <w:r>
        <w:rPr>
          <w:rFonts w:ascii="Cambria" w:eastAsia="Cambria" w:hAnsi="Cambria" w:cs="Cambria"/>
          <w:color w:val="000000"/>
          <w:bdr w:val="nil"/>
          <w:lang w:val="fr-FR"/>
        </w:rPr>
        <w:t>RÉFÉRENCES</w:t>
      </w:r>
    </w:p>
    <w:p w14:paraId="3D622677" w14:textId="365AAE66" w:rsidR="0042310C" w:rsidRPr="00981C98" w:rsidRDefault="00637065" w:rsidP="0042310C">
      <w:pPr>
        <w:pStyle w:val="ListParagraph"/>
        <w:widowControl w:val="0"/>
        <w:numPr>
          <w:ilvl w:val="1"/>
          <w:numId w:val="1"/>
        </w:numPr>
        <w:tabs>
          <w:tab w:val="left" w:pos="3001"/>
        </w:tabs>
        <w:kinsoku w:val="0"/>
        <w:overflowPunct w:val="0"/>
        <w:autoSpaceDE w:val="0"/>
        <w:autoSpaceDN w:val="0"/>
        <w:adjustRightInd w:val="0"/>
        <w:spacing w:after="0" w:line="240" w:lineRule="auto"/>
        <w:rPr>
          <w:rFonts w:asciiTheme="majorHAnsi" w:hAnsiTheme="majorHAnsi" w:cs="Times New Roman"/>
          <w:sz w:val="24"/>
          <w:szCs w:val="24"/>
        </w:rPr>
      </w:pPr>
      <w:r>
        <w:rPr>
          <w:rFonts w:ascii="Cambria" w:eastAsia="Cambria" w:hAnsi="Cambria" w:cs="Cambria"/>
          <w:sz w:val="24"/>
          <w:szCs w:val="24"/>
          <w:bdr w:val="nil"/>
          <w:lang w:val="fr-FR"/>
        </w:rPr>
        <w:t>Voici une liste de normes pouvant être référencées dan</w:t>
      </w:r>
      <w:r>
        <w:rPr>
          <w:rFonts w:ascii="Cambria" w:eastAsia="Cambria" w:hAnsi="Cambria" w:cs="Cambria"/>
          <w:sz w:val="24"/>
          <w:szCs w:val="24"/>
          <w:bdr w:val="nil"/>
          <w:lang w:val="fr-FR"/>
        </w:rPr>
        <w:t>s cette section :</w:t>
      </w:r>
    </w:p>
    <w:p w14:paraId="796A7D24" w14:textId="77777777" w:rsidR="0042310C" w:rsidRPr="00981C98" w:rsidRDefault="0042310C" w:rsidP="0042310C">
      <w:pPr>
        <w:pStyle w:val="BodyText"/>
        <w:kinsoku w:val="0"/>
        <w:overflowPunct w:val="0"/>
        <w:rPr>
          <w:rFonts w:asciiTheme="majorHAnsi" w:hAnsiTheme="majorHAnsi"/>
          <w:sz w:val="24"/>
          <w:szCs w:val="24"/>
        </w:rPr>
      </w:pPr>
    </w:p>
    <w:p w14:paraId="054FCD16" w14:textId="062E5786" w:rsidR="0042310C" w:rsidRPr="00981C98" w:rsidRDefault="00637065" w:rsidP="0042310C">
      <w:pPr>
        <w:pStyle w:val="ListParagraph"/>
        <w:widowControl w:val="0"/>
        <w:numPr>
          <w:ilvl w:val="2"/>
          <w:numId w:val="1"/>
        </w:numPr>
        <w:tabs>
          <w:tab w:val="left" w:pos="3433"/>
        </w:tabs>
        <w:kinsoku w:val="0"/>
        <w:overflowPunct w:val="0"/>
        <w:autoSpaceDE w:val="0"/>
        <w:autoSpaceDN w:val="0"/>
        <w:adjustRightInd w:val="0"/>
        <w:spacing w:after="0" w:line="240" w:lineRule="auto"/>
        <w:contextualSpacing w:val="0"/>
        <w:rPr>
          <w:rFonts w:asciiTheme="majorHAnsi" w:hAnsiTheme="majorHAnsi" w:cs="Times New Roman"/>
          <w:sz w:val="24"/>
          <w:szCs w:val="24"/>
        </w:rPr>
      </w:pPr>
      <w:bookmarkStart w:id="3" w:name="1._ASTM_International_(ASTM):"/>
      <w:bookmarkEnd w:id="3"/>
      <w:r>
        <w:rPr>
          <w:rFonts w:ascii="Cambria" w:eastAsia="Cambria" w:hAnsi="Cambria" w:cs="Cambria"/>
          <w:sz w:val="24"/>
          <w:szCs w:val="24"/>
          <w:bdr w:val="nil"/>
          <w:lang w:val="fr-FR"/>
        </w:rPr>
        <w:t>ASTM International (ASTM) :</w:t>
      </w:r>
    </w:p>
    <w:p w14:paraId="617B73F8" w14:textId="77777777" w:rsidR="0042310C" w:rsidRPr="00981C98" w:rsidRDefault="0042310C" w:rsidP="00DA0A70">
      <w:pPr>
        <w:pStyle w:val="BodyText"/>
        <w:kinsoku w:val="0"/>
        <w:overflowPunct w:val="0"/>
        <w:spacing w:before="9"/>
        <w:jc w:val="both"/>
        <w:rPr>
          <w:rFonts w:asciiTheme="majorHAnsi" w:hAnsiTheme="majorHAnsi"/>
          <w:sz w:val="24"/>
          <w:szCs w:val="24"/>
        </w:rPr>
      </w:pPr>
    </w:p>
    <w:p w14:paraId="103988C1" w14:textId="47E56D58" w:rsidR="003C514A" w:rsidRPr="00510248" w:rsidRDefault="00637065">
      <w:pPr>
        <w:pStyle w:val="ListParagraph"/>
        <w:widowControl w:val="0"/>
        <w:numPr>
          <w:ilvl w:val="0"/>
          <w:numId w:val="10"/>
        </w:numPr>
        <w:tabs>
          <w:tab w:val="left" w:pos="3865"/>
        </w:tabs>
        <w:kinsoku w:val="0"/>
        <w:overflowPunct w:val="0"/>
        <w:autoSpaceDE w:val="0"/>
        <w:autoSpaceDN w:val="0"/>
        <w:adjustRightInd w:val="0"/>
        <w:spacing w:after="0" w:line="240" w:lineRule="auto"/>
        <w:ind w:right="1416"/>
        <w:jc w:val="both"/>
        <w:rPr>
          <w:rFonts w:asciiTheme="majorHAnsi" w:hAnsiTheme="majorHAnsi" w:cs="Times New Roman"/>
          <w:sz w:val="24"/>
          <w:szCs w:val="24"/>
        </w:rPr>
      </w:pPr>
      <w:bookmarkStart w:id="4" w:name="a._D698,_Standard_Test_Methods_for_Labor"/>
      <w:bookmarkEnd w:id="4"/>
      <w:r>
        <w:rPr>
          <w:rFonts w:ascii="Cambria" w:eastAsia="Cambria" w:hAnsi="Cambria" w:cs="Cambria"/>
          <w:sz w:val="24"/>
          <w:szCs w:val="24"/>
          <w:bdr w:val="nil"/>
          <w:lang w:val="fr-FR"/>
        </w:rPr>
        <w:t xml:space="preserve">D698, Standard Test Methods for Laboratory </w:t>
      </w:r>
      <w:r>
        <w:rPr>
          <w:rFonts w:ascii="Cambria" w:eastAsia="Cambria" w:hAnsi="Cambria" w:cs="Cambria"/>
          <w:sz w:val="24"/>
          <w:szCs w:val="24"/>
          <w:bdr w:val="nil"/>
          <w:lang w:val="fr-FR"/>
        </w:rPr>
        <w:lastRenderedPageBreak/>
        <w:t>Compact</w:t>
      </w:r>
      <w:r>
        <w:rPr>
          <w:rFonts w:ascii="Cambria" w:eastAsia="Cambria" w:hAnsi="Cambria" w:cs="Cambria"/>
          <w:sz w:val="24"/>
          <w:szCs w:val="24"/>
          <w:bdr w:val="nil"/>
          <w:lang w:val="fr-FR"/>
        </w:rPr>
        <w:t>ion Characteristics of Soil Using Standard Effort (12 400 ft-lbf/ft3 (600 kN-m/m3)) (Méthodes d'essai standard pour les caractéristiques de compactage du sol en laboratoire avec un effort standard (12 400 ft-lbf/ft3 (600 kN m/m3)).</w:t>
      </w:r>
    </w:p>
    <w:p w14:paraId="60E77686" w14:textId="5F3F98F4" w:rsidR="0042310C" w:rsidRPr="00981C98" w:rsidRDefault="00637065" w:rsidP="008472B7">
      <w:pPr>
        <w:pStyle w:val="ListParagraph"/>
        <w:widowControl w:val="0"/>
        <w:numPr>
          <w:ilvl w:val="0"/>
          <w:numId w:val="10"/>
        </w:numPr>
        <w:tabs>
          <w:tab w:val="left" w:pos="3865"/>
        </w:tabs>
        <w:kinsoku w:val="0"/>
        <w:overflowPunct w:val="0"/>
        <w:autoSpaceDE w:val="0"/>
        <w:autoSpaceDN w:val="0"/>
        <w:adjustRightInd w:val="0"/>
        <w:spacing w:after="0" w:line="240" w:lineRule="auto"/>
        <w:ind w:right="1416"/>
        <w:jc w:val="both"/>
        <w:rPr>
          <w:rFonts w:asciiTheme="majorHAnsi" w:hAnsiTheme="majorHAnsi" w:cs="Times New Roman"/>
          <w:sz w:val="24"/>
          <w:szCs w:val="24"/>
        </w:rPr>
      </w:pPr>
      <w:r>
        <w:rPr>
          <w:rFonts w:ascii="Cambria" w:eastAsia="Cambria" w:hAnsi="Cambria" w:cs="Cambria"/>
          <w:sz w:val="24"/>
          <w:szCs w:val="24"/>
          <w:bdr w:val="nil"/>
          <w:lang w:val="fr-FR"/>
        </w:rPr>
        <w:t xml:space="preserve">D4253, Standard Test Methods for Maximum Index Density and Unit Weight of Soils Using a Vibratory Table (Méthodes d'essai standardisés pour la densité d'indice maximale et le poids unitaire des sols à </w:t>
      </w:r>
      <w:r>
        <w:rPr>
          <w:rFonts w:ascii="Cambria" w:eastAsia="Cambria" w:hAnsi="Cambria" w:cs="Cambria"/>
          <w:sz w:val="24"/>
          <w:szCs w:val="24"/>
          <w:bdr w:val="nil"/>
          <w:lang w:val="fr-FR"/>
        </w:rPr>
        <w:t>l'aide d'un tableau vibratoire)</w:t>
      </w:r>
      <w:bookmarkStart w:id="5" w:name="b._D4253,_Standard_Test_Methods_for_Maxi"/>
      <w:bookmarkEnd w:id="5"/>
      <w:r>
        <w:rPr>
          <w:rFonts w:ascii="Cambria" w:eastAsia="Cambria" w:hAnsi="Cambria" w:cs="Cambria"/>
          <w:sz w:val="24"/>
          <w:szCs w:val="24"/>
          <w:bdr w:val="nil"/>
          <w:lang w:val="fr-FR"/>
        </w:rPr>
        <w:t>.</w:t>
      </w:r>
    </w:p>
    <w:p w14:paraId="25DBBC08" w14:textId="0F89387E" w:rsidR="0057645B" w:rsidRPr="00981C98" w:rsidRDefault="00637065" w:rsidP="008472B7">
      <w:pPr>
        <w:pStyle w:val="ListParagraph"/>
        <w:widowControl w:val="0"/>
        <w:numPr>
          <w:ilvl w:val="0"/>
          <w:numId w:val="10"/>
        </w:numPr>
        <w:tabs>
          <w:tab w:val="left" w:pos="3865"/>
        </w:tabs>
        <w:kinsoku w:val="0"/>
        <w:overflowPunct w:val="0"/>
        <w:autoSpaceDE w:val="0"/>
        <w:autoSpaceDN w:val="0"/>
        <w:adjustRightInd w:val="0"/>
        <w:spacing w:after="0" w:line="240" w:lineRule="auto"/>
        <w:ind w:right="1416"/>
        <w:jc w:val="both"/>
        <w:rPr>
          <w:rFonts w:asciiTheme="majorHAnsi" w:hAnsiTheme="majorHAnsi" w:cs="Times New Roman"/>
          <w:sz w:val="24"/>
          <w:szCs w:val="24"/>
        </w:rPr>
      </w:pPr>
      <w:bookmarkStart w:id="6" w:name="_Hlk5118556"/>
      <w:r>
        <w:rPr>
          <w:rFonts w:ascii="Cambria" w:eastAsia="Cambria" w:hAnsi="Cambria" w:cs="Cambria"/>
          <w:sz w:val="24"/>
          <w:szCs w:val="24"/>
          <w:bdr w:val="nil"/>
          <w:lang w:val="fr-FR"/>
        </w:rPr>
        <w:t xml:space="preserve">D1557 - Standard Test Method for Laboratory Compaction Characteristics of Soil Using Modified Effort </w:t>
      </w:r>
      <w:bookmarkEnd w:id="6"/>
      <w:r>
        <w:rPr>
          <w:rFonts w:ascii="Cambria" w:eastAsia="Cambria" w:hAnsi="Cambria" w:cs="Cambria"/>
          <w:sz w:val="24"/>
          <w:szCs w:val="24"/>
          <w:bdr w:val="nil"/>
          <w:lang w:val="fr-FR"/>
        </w:rPr>
        <w:t>(6,000 ft-lbf/ft3 (2,700 kN-m/m3)) (Méthode</w:t>
      </w:r>
      <w:r>
        <w:rPr>
          <w:rFonts w:ascii="Cambria" w:eastAsia="Cambria" w:hAnsi="Cambria" w:cs="Cambria"/>
          <w:sz w:val="24"/>
          <w:szCs w:val="24"/>
          <w:bdr w:val="nil"/>
          <w:lang w:val="fr-FR"/>
        </w:rPr>
        <w:t xml:space="preserve"> d'essai standardisé pour les caractéristiques de compactage du sol en laboratoire avec un effort modifié (6 000 ft-lbf/pi3 (2 700 kN-m/m3)).</w:t>
      </w:r>
    </w:p>
    <w:p w14:paraId="75EC50C2" w14:textId="1E48ED1A" w:rsidR="00D21928" w:rsidRDefault="00637065">
      <w:pPr>
        <w:pStyle w:val="ListParagraph"/>
        <w:widowControl w:val="0"/>
        <w:numPr>
          <w:ilvl w:val="0"/>
          <w:numId w:val="10"/>
        </w:numPr>
        <w:tabs>
          <w:tab w:val="left" w:pos="3865"/>
        </w:tabs>
        <w:kinsoku w:val="0"/>
        <w:overflowPunct w:val="0"/>
        <w:autoSpaceDE w:val="0"/>
        <w:autoSpaceDN w:val="0"/>
        <w:adjustRightInd w:val="0"/>
        <w:spacing w:after="0" w:line="240" w:lineRule="auto"/>
        <w:ind w:right="1416"/>
        <w:jc w:val="both"/>
        <w:rPr>
          <w:rFonts w:asciiTheme="majorHAnsi" w:hAnsiTheme="majorHAnsi" w:cs="Times New Roman"/>
          <w:sz w:val="24"/>
          <w:szCs w:val="24"/>
        </w:rPr>
      </w:pPr>
      <w:r>
        <w:rPr>
          <w:rFonts w:ascii="Cambria" w:eastAsia="Cambria" w:hAnsi="Cambria" w:cs="Cambria"/>
          <w:sz w:val="24"/>
          <w:szCs w:val="24"/>
          <w:bdr w:val="nil"/>
          <w:lang w:val="fr-FR"/>
        </w:rPr>
        <w:t xml:space="preserve">ASTM D2216 – 10, Standard Test </w:t>
      </w:r>
      <w:r>
        <w:rPr>
          <w:rFonts w:ascii="Cambria" w:eastAsia="Cambria" w:hAnsi="Cambria" w:cs="Cambria"/>
          <w:sz w:val="24"/>
          <w:szCs w:val="24"/>
          <w:bdr w:val="nil"/>
          <w:lang w:val="fr-FR"/>
        </w:rPr>
        <w:t>Methods for Laboratory Determination of Water (Moisture) Content of Soil and Rock by Mass (méthodes d’essai standardisés pour la détermination en laboratoire de la teneur en eau (humidité) du sol et des roches en masse.).</w:t>
      </w:r>
    </w:p>
    <w:p w14:paraId="7611ADB5" w14:textId="2E187C71" w:rsidR="003C514A" w:rsidRDefault="00637065">
      <w:pPr>
        <w:pStyle w:val="ListParagraph"/>
        <w:widowControl w:val="0"/>
        <w:numPr>
          <w:ilvl w:val="0"/>
          <w:numId w:val="10"/>
        </w:numPr>
        <w:tabs>
          <w:tab w:val="left" w:pos="3865"/>
        </w:tabs>
        <w:kinsoku w:val="0"/>
        <w:overflowPunct w:val="0"/>
        <w:autoSpaceDE w:val="0"/>
        <w:autoSpaceDN w:val="0"/>
        <w:adjustRightInd w:val="0"/>
        <w:spacing w:after="0" w:line="240" w:lineRule="auto"/>
        <w:ind w:right="1416"/>
        <w:jc w:val="both"/>
        <w:rPr>
          <w:rFonts w:asciiTheme="majorHAnsi" w:hAnsiTheme="majorHAnsi" w:cs="Times New Roman"/>
          <w:sz w:val="24"/>
          <w:szCs w:val="24"/>
        </w:rPr>
      </w:pPr>
      <w:r>
        <w:rPr>
          <w:rFonts w:ascii="Cambria" w:eastAsia="Cambria" w:hAnsi="Cambria" w:cs="Cambria"/>
          <w:sz w:val="24"/>
          <w:szCs w:val="24"/>
          <w:bdr w:val="nil"/>
          <w:lang w:val="fr-FR"/>
        </w:rPr>
        <w:t>D6913/D6213-17 - Standard Test Methods for Particle-Size Distribution (Gradation) of Soils Using Sieve Analysis (Méthodes d'essai standardisés pour la distribution granulométrique (gradation) des sols à l'aide d</w:t>
      </w:r>
      <w:r>
        <w:rPr>
          <w:rFonts w:ascii="Cambria" w:eastAsia="Cambria" w:hAnsi="Cambria" w:cs="Cambria"/>
          <w:sz w:val="24"/>
          <w:szCs w:val="24"/>
          <w:bdr w:val="nil"/>
          <w:lang w:val="fr-FR"/>
        </w:rPr>
        <w:t>'une analyse sur tamis)</w:t>
      </w:r>
    </w:p>
    <w:p w14:paraId="7C6AB711" w14:textId="7A9E9FB8" w:rsidR="004D097D" w:rsidRDefault="00637065">
      <w:pPr>
        <w:pStyle w:val="ListParagraph"/>
        <w:widowControl w:val="0"/>
        <w:numPr>
          <w:ilvl w:val="0"/>
          <w:numId w:val="10"/>
        </w:numPr>
        <w:tabs>
          <w:tab w:val="left" w:pos="3865"/>
        </w:tabs>
        <w:kinsoku w:val="0"/>
        <w:overflowPunct w:val="0"/>
        <w:autoSpaceDE w:val="0"/>
        <w:autoSpaceDN w:val="0"/>
        <w:adjustRightInd w:val="0"/>
        <w:spacing w:after="0" w:line="240" w:lineRule="auto"/>
        <w:ind w:right="1416"/>
        <w:jc w:val="both"/>
        <w:rPr>
          <w:rFonts w:asciiTheme="majorHAnsi" w:hAnsiTheme="majorHAnsi" w:cs="Times New Roman"/>
          <w:sz w:val="24"/>
          <w:szCs w:val="24"/>
        </w:rPr>
      </w:pPr>
      <w:bookmarkStart w:id="7" w:name="_Hlk5269639"/>
      <w:r>
        <w:rPr>
          <w:rFonts w:ascii="Cambria" w:eastAsia="Cambria" w:hAnsi="Cambria" w:cs="Cambria"/>
          <w:sz w:val="24"/>
          <w:szCs w:val="24"/>
          <w:bdr w:val="nil"/>
          <w:lang w:val="fr-FR"/>
        </w:rPr>
        <w:t>D6938 - 17a</w:t>
      </w:r>
      <w:bookmarkEnd w:id="7"/>
      <w:r>
        <w:rPr>
          <w:rFonts w:ascii="Cambria" w:eastAsia="Cambria" w:hAnsi="Cambria" w:cs="Cambria"/>
          <w:sz w:val="24"/>
          <w:szCs w:val="24"/>
          <w:bdr w:val="nil"/>
          <w:lang w:val="fr-FR"/>
        </w:rPr>
        <w:t xml:space="preserve"> - Standard Test Methods for In-Place Density and Water Content of Soil and Soil-Aggregate by Nuclear Methods (Shallow Depth)(méthodes d'essai</w:t>
      </w:r>
      <w:r>
        <w:rPr>
          <w:rFonts w:ascii="Cambria" w:eastAsia="Cambria" w:hAnsi="Cambria" w:cs="Cambria"/>
          <w:sz w:val="24"/>
          <w:szCs w:val="24"/>
          <w:bdr w:val="nil"/>
          <w:lang w:val="fr-FR"/>
        </w:rPr>
        <w:t xml:space="preserve"> standard pour la densité en place et la teneur en eau du sol et des agrégats de sol par méthodes nucléaires (faible profondeur))</w:t>
      </w:r>
    </w:p>
    <w:p w14:paraId="2EBC6035" w14:textId="6A829199" w:rsidR="004D097D" w:rsidRPr="00DF5D9B" w:rsidRDefault="00637065" w:rsidP="00510248">
      <w:pPr>
        <w:pStyle w:val="ListParagraph"/>
        <w:widowControl w:val="0"/>
        <w:numPr>
          <w:ilvl w:val="2"/>
          <w:numId w:val="1"/>
        </w:numPr>
        <w:tabs>
          <w:tab w:val="left" w:pos="3433"/>
        </w:tabs>
        <w:kinsoku w:val="0"/>
        <w:overflowPunct w:val="0"/>
        <w:autoSpaceDE w:val="0"/>
        <w:autoSpaceDN w:val="0"/>
        <w:adjustRightInd w:val="0"/>
        <w:spacing w:after="0" w:line="240" w:lineRule="auto"/>
        <w:contextualSpacing w:val="0"/>
        <w:rPr>
          <w:rFonts w:asciiTheme="majorHAnsi" w:hAnsiTheme="majorHAnsi" w:cs="Times New Roman"/>
          <w:sz w:val="24"/>
          <w:szCs w:val="24"/>
        </w:rPr>
      </w:pPr>
      <w:r>
        <w:rPr>
          <w:rFonts w:ascii="Cambria" w:eastAsia="Cambria" w:hAnsi="Cambria" w:cs="Cambria"/>
          <w:sz w:val="24"/>
          <w:szCs w:val="24"/>
          <w:bdr w:val="nil"/>
          <w:lang w:val="fr-FR"/>
        </w:rPr>
        <w:t>AASHTO T-191 - Standard Method of Test for Dens</w:t>
      </w:r>
      <w:r>
        <w:rPr>
          <w:rFonts w:ascii="Cambria" w:eastAsia="Cambria" w:hAnsi="Cambria" w:cs="Cambria"/>
          <w:sz w:val="24"/>
          <w:szCs w:val="24"/>
          <w:bdr w:val="nil"/>
          <w:lang w:val="fr-FR"/>
        </w:rPr>
        <w:t>ity of Soil In-Place by the Sand-Cone Method (méthode d'essai standard pour la densité de sol in-situ par la méthode du sable-cône)</w:t>
      </w:r>
    </w:p>
    <w:p w14:paraId="76BF2CD5" w14:textId="77777777" w:rsidR="0042310C" w:rsidRPr="0042310C" w:rsidRDefault="0042310C" w:rsidP="0042310C"/>
    <w:p w14:paraId="5C9A593E" w14:textId="03CE101B" w:rsidR="004D0F1D" w:rsidRDefault="00637065" w:rsidP="004D0F1D">
      <w:pPr>
        <w:pStyle w:val="Heading1"/>
        <w:keepNext w:val="0"/>
        <w:keepLines w:val="0"/>
        <w:numPr>
          <w:ilvl w:val="0"/>
          <w:numId w:val="1"/>
        </w:numPr>
      </w:pPr>
      <w:r>
        <w:rPr>
          <w:rFonts w:ascii="Cambria" w:eastAsia="Cambria" w:hAnsi="Cambria" w:cs="Cambria"/>
          <w:color w:val="000000"/>
          <w:bdr w:val="nil"/>
          <w:lang w:val="fr-FR"/>
        </w:rPr>
        <w:t>DOSSIERS</w:t>
      </w:r>
    </w:p>
    <w:p w14:paraId="134C8E63" w14:textId="77777777" w:rsidR="00E916DA" w:rsidRPr="00E916DA" w:rsidRDefault="00E916DA" w:rsidP="00E916DA"/>
    <w:p w14:paraId="285E8521" w14:textId="3DF70D13" w:rsidR="004D0F1D" w:rsidRDefault="00637065" w:rsidP="00A968B5">
      <w:pPr>
        <w:pStyle w:val="Heading2"/>
        <w:keepNext w:val="0"/>
        <w:keepLines w:val="0"/>
        <w:numPr>
          <w:ilvl w:val="1"/>
          <w:numId w:val="8"/>
        </w:numPr>
        <w:jc w:val="both"/>
      </w:pPr>
      <w:r>
        <w:rPr>
          <w:rFonts w:ascii="Cambria" w:eastAsia="Cambria" w:hAnsi="Cambria" w:cs="Cambria"/>
          <w:color w:val="000000"/>
          <w:szCs w:val="24"/>
          <w:bdr w:val="nil"/>
          <w:lang w:val="fr-FR"/>
        </w:rPr>
        <w:t>Données des produits : sauf indication contraire, soumettre les éléments suivants à l'ingénieur :</w:t>
      </w:r>
    </w:p>
    <w:p w14:paraId="6ABC1361" w14:textId="77777777" w:rsidR="008E2D51" w:rsidRPr="008E2D51" w:rsidRDefault="00637065" w:rsidP="00A968B5">
      <w:pPr>
        <w:pStyle w:val="Heading3"/>
        <w:numPr>
          <w:ilvl w:val="2"/>
          <w:numId w:val="1"/>
        </w:numPr>
        <w:jc w:val="both"/>
      </w:pPr>
      <w:r>
        <w:rPr>
          <w:rFonts w:ascii="Cambria" w:eastAsia="Cambria" w:hAnsi="Cambria" w:cs="Cambria"/>
          <w:color w:val="000000"/>
          <w:bdr w:val="nil"/>
          <w:lang w:val="fr-FR"/>
        </w:rPr>
        <w:t xml:space="preserve">  Le sous-traitant doit coopérer avec l'ingénieur pour obtenir et fournir</w:t>
      </w:r>
    </w:p>
    <w:p w14:paraId="4C406101" w14:textId="77777777" w:rsidR="008E2D51" w:rsidRPr="008E2D51" w:rsidRDefault="00637065" w:rsidP="00A968B5">
      <w:pPr>
        <w:spacing w:before="40" w:after="0"/>
        <w:ind w:left="1800"/>
        <w:jc w:val="both"/>
        <w:outlineLvl w:val="2"/>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des échantillons de tous les matériaux spécifiés.</w:t>
      </w:r>
    </w:p>
    <w:p w14:paraId="5CD64B5D" w14:textId="043394D6" w:rsidR="008E2D51" w:rsidRPr="00CE55BA" w:rsidRDefault="00637065" w:rsidP="00A968B5">
      <w:pPr>
        <w:keepNext/>
        <w:keepLines/>
        <w:numPr>
          <w:ilvl w:val="2"/>
          <w:numId w:val="1"/>
        </w:numPr>
        <w:spacing w:before="40" w:after="0"/>
        <w:jc w:val="both"/>
        <w:outlineLvl w:val="2"/>
        <w:rPr>
          <w:rFonts w:asciiTheme="majorHAnsi" w:eastAsiaTheme="majorEastAsia" w:hAnsiTheme="majorHAnsi" w:cstheme="majorBidi"/>
          <w:sz w:val="24"/>
          <w:szCs w:val="24"/>
        </w:rPr>
      </w:pPr>
      <w:r>
        <w:rPr>
          <w:rFonts w:ascii="Cambria" w:eastAsia="Cambria" w:hAnsi="Cambria" w:cs="Cambria"/>
          <w:sz w:val="24"/>
          <w:szCs w:val="24"/>
          <w:bdr w:val="nil"/>
          <w:lang w:val="fr-FR"/>
        </w:rPr>
        <w:lastRenderedPageBreak/>
        <w:t xml:space="preserve">Lorsqu'il est fourni par un fournisseur, le sous-traitant doit soumettre une attestation du fournisseur certifiant que le remblai, ou équivalent approuvé, satisfait aux exigences de la présente spécification. </w:t>
      </w:r>
    </w:p>
    <w:p w14:paraId="2901FF79" w14:textId="79709F5E" w:rsidR="0085231F" w:rsidRPr="00CE55BA" w:rsidRDefault="00637065" w:rsidP="00A968B5">
      <w:pPr>
        <w:pStyle w:val="ListParagraph"/>
        <w:keepNext/>
        <w:keepLines/>
        <w:numPr>
          <w:ilvl w:val="2"/>
          <w:numId w:val="1"/>
        </w:numPr>
        <w:spacing w:before="40" w:after="0"/>
        <w:jc w:val="both"/>
        <w:outlineLvl w:val="2"/>
        <w:rPr>
          <w:rFonts w:asciiTheme="majorHAnsi" w:eastAsiaTheme="majorEastAsia" w:hAnsiTheme="majorHAnsi" w:cstheme="majorBidi"/>
          <w:sz w:val="24"/>
          <w:szCs w:val="24"/>
        </w:rPr>
      </w:pPr>
      <w:r>
        <w:rPr>
          <w:rFonts w:ascii="Cambria" w:eastAsia="Cambria" w:hAnsi="Cambria" w:cs="Cambria"/>
          <w:sz w:val="24"/>
          <w:szCs w:val="24"/>
          <w:bdr w:val="nil"/>
          <w:lang w:val="fr-FR"/>
        </w:rPr>
        <w:t>Fiches techniques ou échantillons indiquant la résistance et la couleur du remblai.</w:t>
      </w:r>
    </w:p>
    <w:p w14:paraId="23024C5E" w14:textId="0A69588C" w:rsidR="004A638F" w:rsidRPr="00CE55BA" w:rsidRDefault="00637065" w:rsidP="00A968B5">
      <w:pPr>
        <w:keepNext/>
        <w:keepLines/>
        <w:numPr>
          <w:ilvl w:val="2"/>
          <w:numId w:val="1"/>
        </w:numPr>
        <w:spacing w:before="40" w:after="0"/>
        <w:jc w:val="both"/>
        <w:outlineLvl w:val="2"/>
        <w:rPr>
          <w:rFonts w:asciiTheme="majorHAnsi" w:eastAsiaTheme="majorEastAsia" w:hAnsiTheme="majorHAnsi" w:cstheme="majorBidi"/>
          <w:color w:val="000000" w:themeColor="text1"/>
          <w:sz w:val="24"/>
          <w:szCs w:val="24"/>
        </w:rPr>
      </w:pPr>
      <w:r>
        <w:rPr>
          <w:rFonts w:ascii="Cambria" w:eastAsia="Cambria" w:hAnsi="Cambria" w:cs="Cambria"/>
          <w:sz w:val="24"/>
          <w:szCs w:val="24"/>
          <w:bdr w:val="nil"/>
          <w:lang w:val="fr-FR"/>
        </w:rPr>
        <w:t>Le sous-traitant</w:t>
      </w:r>
      <w:r>
        <w:rPr>
          <w:rFonts w:ascii="Cambria" w:eastAsia="Cambria" w:hAnsi="Cambria" w:cs="Cambria"/>
          <w:color w:val="00B0F0"/>
          <w:sz w:val="24"/>
          <w:szCs w:val="24"/>
          <w:bdr w:val="nil"/>
          <w:lang w:val="fr-FR"/>
        </w:rPr>
        <w:t xml:space="preserve"> </w:t>
      </w:r>
      <w:r>
        <w:rPr>
          <w:rFonts w:ascii="Cambria" w:eastAsia="Cambria" w:hAnsi="Cambria" w:cs="Cambria"/>
          <w:color w:val="000000"/>
          <w:sz w:val="24"/>
          <w:szCs w:val="24"/>
          <w:bdr w:val="nil"/>
          <w:lang w:val="fr-FR"/>
        </w:rPr>
        <w:t>doit soumettre des certificats d'essai de laboratoire certifiés pour tous les éléments requis dan</w:t>
      </w:r>
      <w:r>
        <w:rPr>
          <w:rFonts w:ascii="Cambria" w:eastAsia="Cambria" w:hAnsi="Cambria" w:cs="Cambria"/>
          <w:color w:val="000000"/>
          <w:sz w:val="24"/>
          <w:szCs w:val="24"/>
          <w:bdr w:val="nil"/>
          <w:lang w:val="fr-FR"/>
        </w:rPr>
        <w:t xml:space="preserve">s cette section Le sous-traitant doit soumettre une liste des équipements de compactage qui seront utilisés, qui doivent consister en des plaques vibrantes ou de petits rouleaux vibrants.  </w:t>
      </w:r>
    </w:p>
    <w:p w14:paraId="3CB1C1EC" w14:textId="77777777" w:rsidR="0085231F" w:rsidRPr="0085231F" w:rsidRDefault="0085231F" w:rsidP="00A968B5">
      <w:pPr>
        <w:keepNext/>
        <w:keepLines/>
        <w:spacing w:before="40" w:after="0"/>
        <w:jc w:val="both"/>
        <w:outlineLvl w:val="2"/>
        <w:rPr>
          <w:rFonts w:asciiTheme="majorHAnsi" w:eastAsiaTheme="majorEastAsia" w:hAnsiTheme="majorHAnsi" w:cstheme="majorBidi"/>
          <w:color w:val="000000" w:themeColor="text1"/>
          <w:sz w:val="24"/>
          <w:szCs w:val="24"/>
        </w:rPr>
      </w:pPr>
    </w:p>
    <w:p w14:paraId="1E0C9439" w14:textId="66C88732" w:rsidR="00AA0A0D" w:rsidRPr="00C226E0" w:rsidRDefault="00637065" w:rsidP="00A968B5">
      <w:pPr>
        <w:pStyle w:val="Heading2"/>
        <w:keepNext w:val="0"/>
        <w:keepLines w:val="0"/>
        <w:ind w:left="1080" w:hanging="360"/>
        <w:jc w:val="both"/>
        <w:rPr>
          <w:sz w:val="23"/>
          <w:szCs w:val="23"/>
        </w:rPr>
      </w:pPr>
      <w:r>
        <w:rPr>
          <w:rFonts w:ascii="Cambria" w:eastAsia="Cambria" w:hAnsi="Cambria" w:cs="Cambria"/>
          <w:color w:val="000000"/>
          <w:szCs w:val="24"/>
          <w:bdr w:val="nil"/>
          <w:lang w:val="fr-FR"/>
        </w:rPr>
        <w:t>Dessins d'atelier : soumettre ce qui suit conformément aux conditions générales de DAI relatives aux soumissions :</w:t>
      </w:r>
    </w:p>
    <w:p w14:paraId="494E4CA5" w14:textId="79A25A3E" w:rsidR="00E44968" w:rsidRPr="00E44968" w:rsidRDefault="00637065" w:rsidP="00510248">
      <w:pPr>
        <w:pStyle w:val="Heading3"/>
        <w:keepNext w:val="0"/>
        <w:keepLines w:val="0"/>
        <w:numPr>
          <w:ilvl w:val="2"/>
          <w:numId w:val="6"/>
        </w:numPr>
        <w:jc w:val="both"/>
      </w:pPr>
      <w:bookmarkStart w:id="8" w:name="_Hlk977905"/>
      <w:r>
        <w:rPr>
          <w:rFonts w:ascii="Cambria" w:eastAsia="Cambria" w:hAnsi="Cambria" w:cs="Cambria"/>
          <w:color w:val="auto"/>
          <w:bdr w:val="nil"/>
          <w:lang w:val="fr-FR"/>
        </w:rPr>
        <w:t>Limites proposées de la surface du remblai en vu</w:t>
      </w:r>
      <w:r>
        <w:rPr>
          <w:rFonts w:ascii="Cambria" w:eastAsia="Cambria" w:hAnsi="Cambria" w:cs="Cambria"/>
          <w:color w:val="auto"/>
          <w:bdr w:val="nil"/>
          <w:lang w:val="fr-FR"/>
        </w:rPr>
        <w:t xml:space="preserve">e de dessus sur la feuille de conditions du site. Limites d’excavation estimées en coupe transversale pour plusieurs emplacements sur les zones de travail. </w:t>
      </w:r>
      <w:bookmarkEnd w:id="8"/>
    </w:p>
    <w:p w14:paraId="6D297E2B" w14:textId="53751D99" w:rsidR="004D0F1D" w:rsidRDefault="00637065" w:rsidP="004D0F1D">
      <w:pPr>
        <w:pStyle w:val="Heading1"/>
        <w:keepNext w:val="0"/>
        <w:keepLines w:val="0"/>
        <w:numPr>
          <w:ilvl w:val="0"/>
          <w:numId w:val="1"/>
        </w:numPr>
      </w:pPr>
      <w:r>
        <w:rPr>
          <w:rFonts w:ascii="Cambria" w:eastAsia="Cambria" w:hAnsi="Cambria" w:cs="Cambria"/>
          <w:color w:val="000000"/>
          <w:bdr w:val="nil"/>
          <w:lang w:val="fr-FR"/>
        </w:rPr>
        <w:t>ASSURANCE QUALITÉ</w:t>
      </w:r>
    </w:p>
    <w:p w14:paraId="4EFD5B36" w14:textId="77777777" w:rsidR="00976BE7" w:rsidRPr="00976BE7" w:rsidRDefault="00976BE7" w:rsidP="00976BE7"/>
    <w:p w14:paraId="4C99A2E3" w14:textId="646D0497" w:rsidR="00F60865" w:rsidRPr="00154872" w:rsidRDefault="00637065" w:rsidP="00A968B5">
      <w:pPr>
        <w:pStyle w:val="ListParagraph"/>
        <w:numPr>
          <w:ilvl w:val="1"/>
          <w:numId w:val="1"/>
        </w:numPr>
        <w:jc w:val="both"/>
        <w:rPr>
          <w:rFonts w:asciiTheme="majorHAnsi" w:hAnsiTheme="majorHAnsi"/>
          <w:sz w:val="24"/>
          <w:szCs w:val="24"/>
        </w:rPr>
      </w:pPr>
      <w:r>
        <w:rPr>
          <w:rFonts w:ascii="Cambria" w:eastAsia="Cambria" w:hAnsi="Cambria" w:cs="Cambria"/>
          <w:sz w:val="24"/>
          <w:szCs w:val="24"/>
          <w:bdr w:val="nil"/>
          <w:lang w:val="fr-FR"/>
        </w:rPr>
        <w:t xml:space="preserve">Le sous-traitant doit fournir à l'ingénieur le nom et les qualifications de l'organisme d'essais indépendant sélectionné avant le début des travaux. Le sous-traitant doit payer </w:t>
      </w:r>
      <w:r>
        <w:rPr>
          <w:rFonts w:ascii="Cambria" w:eastAsia="Cambria" w:hAnsi="Cambria" w:cs="Cambria"/>
          <w:sz w:val="24"/>
          <w:szCs w:val="24"/>
          <w:bdr w:val="nil"/>
          <w:lang w:val="fr-FR"/>
        </w:rPr>
        <w:t xml:space="preserve">tous les coûts liés aux essais de vérification du remblayage et du remblai. </w:t>
      </w:r>
    </w:p>
    <w:p w14:paraId="5A3F7721" w14:textId="1335CE4C" w:rsidR="00722AE6" w:rsidRPr="00154872" w:rsidRDefault="00637065" w:rsidP="00722AE6">
      <w:pPr>
        <w:pStyle w:val="ListParagraph"/>
        <w:ind w:left="1080"/>
        <w:jc w:val="both"/>
        <w:rPr>
          <w:rFonts w:asciiTheme="majorHAnsi" w:hAnsiTheme="majorHAnsi"/>
          <w:sz w:val="24"/>
          <w:szCs w:val="24"/>
        </w:rPr>
      </w:pPr>
      <w:r>
        <w:rPr>
          <w:rFonts w:ascii="Cambria" w:eastAsia="Cambria" w:hAnsi="Cambria" w:cs="Cambria"/>
          <w:sz w:val="24"/>
          <w:szCs w:val="24"/>
          <w:bdr w:val="nil"/>
          <w:lang w:val="fr-FR"/>
        </w:rPr>
        <w:t>Qualifications de l'agence d'essai : une agence indépendante, acceptable pour l'ingénieur, qualifiée</w:t>
      </w:r>
      <w:r>
        <w:rPr>
          <w:rFonts w:ascii="Cambria" w:eastAsia="Cambria" w:hAnsi="Cambria" w:cs="Cambria"/>
          <w:sz w:val="24"/>
          <w:szCs w:val="24"/>
          <w:bdr w:val="nil"/>
          <w:lang w:val="fr-FR"/>
        </w:rPr>
        <w:t xml:space="preserve"> selon les normes ASTM D4253, ASTM D6913, ASTM D2216, ASTM D1557 et ASTM D698, doit être utilisée pour effectuer les essais comme indiqué dans les plans et devis. </w:t>
      </w:r>
    </w:p>
    <w:p w14:paraId="039D3277" w14:textId="74090969" w:rsidR="00254C7A" w:rsidRPr="00154872" w:rsidRDefault="00637065">
      <w:pPr>
        <w:pStyle w:val="ListParagraph"/>
        <w:numPr>
          <w:ilvl w:val="1"/>
          <w:numId w:val="1"/>
        </w:numPr>
        <w:jc w:val="both"/>
        <w:rPr>
          <w:rFonts w:asciiTheme="majorHAnsi" w:hAnsiTheme="majorHAnsi"/>
          <w:sz w:val="24"/>
          <w:szCs w:val="24"/>
        </w:rPr>
      </w:pPr>
      <w:r>
        <w:rPr>
          <w:rFonts w:ascii="Cambria" w:eastAsia="Cambria" w:hAnsi="Cambria" w:cs="Cambria"/>
          <w:sz w:val="24"/>
          <w:szCs w:val="24"/>
          <w:bdr w:val="nil"/>
          <w:lang w:val="fr-FR"/>
        </w:rPr>
        <w:t>Sous observat</w:t>
      </w:r>
      <w:r>
        <w:rPr>
          <w:rFonts w:ascii="Cambria" w:eastAsia="Cambria" w:hAnsi="Cambria" w:cs="Cambria"/>
          <w:sz w:val="24"/>
          <w:szCs w:val="24"/>
          <w:bdr w:val="nil"/>
          <w:lang w:val="fr-FR"/>
        </w:rPr>
        <w:t>ion de l’Ingénieur, prélever un échantillon représentatif du matériau de remblai granulaire livré sur le site et proposé pour le remblai de remblayage et de tranchée et communiquer au laboratoire d’essai la granulométrie (gradation) des sols à l’aide d’une</w:t>
      </w:r>
      <w:r>
        <w:rPr>
          <w:rFonts w:ascii="Cambria" w:eastAsia="Cambria" w:hAnsi="Cambria" w:cs="Cambria"/>
          <w:sz w:val="24"/>
          <w:szCs w:val="24"/>
          <w:bdr w:val="nil"/>
          <w:lang w:val="fr-FR"/>
        </w:rPr>
        <w:t xml:space="preserve"> analyse au tamis. L'échantillon doit être prélevé directement sur un lot prélevé dans la rivière choisie ou chez le fournisseur de l'agrégat.</w:t>
      </w:r>
    </w:p>
    <w:p w14:paraId="5EBC65F5" w14:textId="3669027E" w:rsidR="001F6F9D" w:rsidRPr="00154872" w:rsidRDefault="00637065" w:rsidP="00A968B5">
      <w:pPr>
        <w:pStyle w:val="ListParagraph"/>
        <w:numPr>
          <w:ilvl w:val="1"/>
          <w:numId w:val="1"/>
        </w:numPr>
        <w:jc w:val="both"/>
        <w:rPr>
          <w:rFonts w:asciiTheme="majorHAnsi" w:hAnsiTheme="majorHAnsi"/>
          <w:sz w:val="24"/>
          <w:szCs w:val="24"/>
        </w:rPr>
      </w:pPr>
      <w:r>
        <w:rPr>
          <w:rFonts w:ascii="Cambria" w:eastAsia="Cambria" w:hAnsi="Cambria" w:cs="Cambria"/>
          <w:sz w:val="24"/>
          <w:szCs w:val="24"/>
          <w:bdr w:val="nil"/>
          <w:lang w:val="fr-FR"/>
        </w:rPr>
        <w:t>Pendant le compactage, prélever et</w:t>
      </w:r>
      <w:r>
        <w:rPr>
          <w:rFonts w:ascii="Cambria" w:eastAsia="Cambria" w:hAnsi="Cambria" w:cs="Cambria"/>
          <w:sz w:val="24"/>
          <w:szCs w:val="24"/>
          <w:bdr w:val="nil"/>
          <w:lang w:val="fr-FR"/>
        </w:rPr>
        <w:t xml:space="preserve"> fournir deux échantillons différents et fournir au laboratoire agréé des tests de compactage sous la direction de l'ingénieur, en conformité avec les normes listées précédemment dans cette section. Les échantillons doivent provenir des fondations de la ch</w:t>
      </w:r>
      <w:r>
        <w:rPr>
          <w:rFonts w:ascii="Cambria" w:eastAsia="Cambria" w:hAnsi="Cambria" w:cs="Cambria"/>
          <w:sz w:val="24"/>
          <w:szCs w:val="24"/>
          <w:bdr w:val="nil"/>
          <w:lang w:val="fr-FR"/>
        </w:rPr>
        <w:t xml:space="preserve">arpente en acier et ne doivent pas être prélevés à la même altitude. Le sous-traitant ou le </w:t>
      </w:r>
      <w:r>
        <w:rPr>
          <w:rFonts w:ascii="Cambria" w:eastAsia="Cambria" w:hAnsi="Cambria" w:cs="Cambria"/>
          <w:sz w:val="24"/>
          <w:szCs w:val="24"/>
          <w:bdr w:val="nil"/>
          <w:lang w:val="fr-FR"/>
        </w:rPr>
        <w:lastRenderedPageBreak/>
        <w:t>laboratoire agréé peut également effectuer des essais sur site conformément à T-191 ou D6938-17a.</w:t>
      </w:r>
    </w:p>
    <w:p w14:paraId="3E23B523" w14:textId="14AE421B" w:rsidR="007E75E3" w:rsidRPr="00254C7A" w:rsidRDefault="007E75E3" w:rsidP="007E75E3">
      <w:pPr>
        <w:pStyle w:val="ListParagraph"/>
        <w:ind w:left="1080"/>
        <w:rPr>
          <w:rFonts w:asciiTheme="majorHAnsi" w:hAnsiTheme="majorHAnsi"/>
        </w:rPr>
      </w:pPr>
    </w:p>
    <w:p w14:paraId="72B83302" w14:textId="77777777" w:rsidR="004D0F1D" w:rsidRDefault="00637065" w:rsidP="004D0F1D">
      <w:pPr>
        <w:pStyle w:val="Heading1"/>
        <w:keepNext w:val="0"/>
        <w:keepLines w:val="0"/>
        <w:numPr>
          <w:ilvl w:val="0"/>
          <w:numId w:val="1"/>
        </w:numPr>
      </w:pPr>
      <w:r>
        <w:rPr>
          <w:rFonts w:ascii="Cambria" w:eastAsia="Cambria" w:hAnsi="Cambria" w:cs="Cambria"/>
          <w:color w:val="000000"/>
          <w:bdr w:val="nil"/>
          <w:lang w:val="fr-FR"/>
        </w:rPr>
        <w:t>LIVRAISON, STOCKAGE ET MANUTENTION</w:t>
      </w:r>
    </w:p>
    <w:p w14:paraId="30D3FE98" w14:textId="68797848" w:rsidR="004D0F1D" w:rsidRDefault="00637065" w:rsidP="007E75E3">
      <w:pPr>
        <w:pStyle w:val="Heading2"/>
        <w:keepNext w:val="0"/>
        <w:keepLines w:val="0"/>
        <w:numPr>
          <w:ilvl w:val="1"/>
          <w:numId w:val="1"/>
        </w:numPr>
        <w:tabs>
          <w:tab w:val="clear" w:pos="1080"/>
        </w:tabs>
        <w:rPr>
          <w:color w:val="auto"/>
          <w:szCs w:val="24"/>
        </w:rPr>
      </w:pPr>
      <w:r>
        <w:rPr>
          <w:rFonts w:ascii="Cambria" w:eastAsia="Cambria" w:hAnsi="Cambria" w:cs="Cambria"/>
          <w:color w:val="auto"/>
          <w:szCs w:val="24"/>
          <w:bdr w:val="nil"/>
          <w:lang w:val="fr-FR"/>
        </w:rPr>
        <w:t xml:space="preserve">Le remblai granulaire de remblayage doit être livré au sol et recouvert d'une bâche ou d'une autre protection imperméable </w:t>
      </w:r>
      <w:r>
        <w:rPr>
          <w:rFonts w:ascii="Cambria" w:eastAsia="Cambria" w:hAnsi="Cambria" w:cs="Cambria"/>
          <w:color w:val="auto"/>
          <w:szCs w:val="24"/>
          <w:bdr w:val="nil"/>
          <w:lang w:val="fr-FR"/>
        </w:rPr>
        <w:t xml:space="preserve">jusqu'à son placement en vue du compactage. </w:t>
      </w:r>
    </w:p>
    <w:p w14:paraId="63638C53" w14:textId="77777777" w:rsidR="00154872" w:rsidRPr="00154872" w:rsidRDefault="00154872" w:rsidP="00154872"/>
    <w:p w14:paraId="4FDAD2D4" w14:textId="77777777" w:rsidR="004D0F1D" w:rsidRDefault="00637065" w:rsidP="004D0F1D">
      <w:pPr>
        <w:pStyle w:val="Heading1"/>
        <w:keepNext w:val="0"/>
        <w:keepLines w:val="0"/>
        <w:numPr>
          <w:ilvl w:val="0"/>
          <w:numId w:val="1"/>
        </w:numPr>
      </w:pPr>
      <w:bookmarkStart w:id="9" w:name="_Hlk5187129"/>
      <w:r>
        <w:rPr>
          <w:rFonts w:ascii="Cambria" w:eastAsia="Cambria" w:hAnsi="Cambria" w:cs="Cambria"/>
          <w:color w:val="000000"/>
          <w:bdr w:val="nil"/>
          <w:lang w:val="fr-FR"/>
        </w:rPr>
        <w:t>CONDITIONS DU PROJET/DU SITE</w:t>
      </w:r>
    </w:p>
    <w:p w14:paraId="29BEA34D" w14:textId="3CFF3EB8" w:rsidR="00E204D9" w:rsidRPr="00154872" w:rsidRDefault="00637065" w:rsidP="00DA0A70">
      <w:pPr>
        <w:pStyle w:val="Heading2"/>
        <w:keepNext w:val="0"/>
        <w:keepLines w:val="0"/>
        <w:numPr>
          <w:ilvl w:val="1"/>
          <w:numId w:val="1"/>
        </w:numPr>
        <w:tabs>
          <w:tab w:val="clear" w:pos="1080"/>
        </w:tabs>
        <w:jc w:val="both"/>
        <w:rPr>
          <w:color w:val="auto"/>
          <w:szCs w:val="24"/>
        </w:rPr>
      </w:pPr>
      <w:r>
        <w:rPr>
          <w:rFonts w:ascii="Cambria" w:eastAsia="Cambria" w:hAnsi="Cambria" w:cs="Cambria"/>
          <w:color w:val="auto"/>
          <w:szCs w:val="24"/>
          <w:bdr w:val="nil"/>
          <w:lang w:val="fr-FR"/>
        </w:rPr>
        <w:t>Les services publics so</w:t>
      </w:r>
      <w:r>
        <w:rPr>
          <w:rFonts w:ascii="Cambria" w:eastAsia="Cambria" w:hAnsi="Cambria" w:cs="Cambria"/>
          <w:color w:val="auto"/>
          <w:szCs w:val="24"/>
          <w:bdr w:val="nil"/>
          <w:lang w:val="fr-FR"/>
        </w:rPr>
        <w:t>uterrains existants, tels indiqués dans les plans, sont situés conformément aux données disponibles, mais les emplacements peuvent varier et ne peuvent être garantis. Les emplacements exacts seront déterminés par le sous-traitant au fur et à mesure de l'av</w:t>
      </w:r>
      <w:r>
        <w:rPr>
          <w:rFonts w:ascii="Cambria" w:eastAsia="Cambria" w:hAnsi="Cambria" w:cs="Cambria"/>
          <w:color w:val="auto"/>
          <w:szCs w:val="24"/>
          <w:bdr w:val="nil"/>
          <w:lang w:val="fr-FR"/>
        </w:rPr>
        <w:t>ancement des travaux. Les travaux d'excavation doivent être effectués avec précaution afin d'éviter d'endommager les installations existantes.</w:t>
      </w:r>
    </w:p>
    <w:p w14:paraId="38BED551" w14:textId="2D80807A" w:rsidR="004D0F1D" w:rsidRPr="00154872" w:rsidRDefault="00637065" w:rsidP="00DA0A70">
      <w:pPr>
        <w:pStyle w:val="Heading2"/>
        <w:keepNext w:val="0"/>
        <w:keepLines w:val="0"/>
        <w:numPr>
          <w:ilvl w:val="1"/>
          <w:numId w:val="1"/>
        </w:numPr>
        <w:jc w:val="both"/>
        <w:rPr>
          <w:color w:val="auto"/>
          <w:szCs w:val="24"/>
        </w:rPr>
      </w:pPr>
      <w:r>
        <w:rPr>
          <w:rFonts w:ascii="Cambria" w:eastAsia="Cambria" w:hAnsi="Cambria" w:cs="Cambria"/>
          <w:color w:val="auto"/>
          <w:szCs w:val="24"/>
          <w:bdr w:val="nil"/>
          <w:lang w:val="fr-FR"/>
        </w:rPr>
        <w:t>Le sous-traitant doit prévoir la p</w:t>
      </w:r>
      <w:r>
        <w:rPr>
          <w:rFonts w:ascii="Cambria" w:eastAsia="Cambria" w:hAnsi="Cambria" w:cs="Cambria"/>
          <w:color w:val="auto"/>
          <w:szCs w:val="24"/>
          <w:bdr w:val="nil"/>
          <w:lang w:val="fr-FR"/>
        </w:rPr>
        <w:t>rotection, l'enlèvement et le remplacement temporaires, ou le déplacement des dits obstacles, comme requis pour l'exécution des travaux requis dans le présent contrat. Aucun paiement supplémentaire ne sera effectué pour ce travail.</w:t>
      </w:r>
    </w:p>
    <w:bookmarkEnd w:id="9"/>
    <w:p w14:paraId="05B280CC" w14:textId="77777777" w:rsidR="0007140A" w:rsidRPr="0007140A" w:rsidRDefault="0007140A" w:rsidP="0007140A"/>
    <w:p w14:paraId="0C0A5128" w14:textId="77777777" w:rsidR="004D0F1D" w:rsidRPr="00154872" w:rsidRDefault="00637065" w:rsidP="004D0F1D">
      <w:pPr>
        <w:rPr>
          <w:rFonts w:ascii="Times New Roman" w:hAnsi="Times New Roman" w:cs="Times New Roman"/>
          <w:b/>
          <w:sz w:val="24"/>
          <w:szCs w:val="24"/>
        </w:rPr>
      </w:pPr>
      <w:r>
        <w:rPr>
          <w:rFonts w:ascii="Times New Roman" w:eastAsia="Times New Roman" w:hAnsi="Times New Roman" w:cs="Times New Roman"/>
          <w:b/>
          <w:bCs/>
          <w:sz w:val="24"/>
          <w:szCs w:val="24"/>
          <w:bdr w:val="nil"/>
          <w:lang w:val="fr-FR"/>
        </w:rPr>
        <w:t>PARTIE 2 - PRODUITS</w:t>
      </w:r>
    </w:p>
    <w:p w14:paraId="57C47167" w14:textId="17085B05" w:rsidR="009B6D4A" w:rsidRDefault="00637065" w:rsidP="008472B7">
      <w:pPr>
        <w:pStyle w:val="Heading1"/>
        <w:keepNext w:val="0"/>
        <w:keepLines w:val="0"/>
        <w:numPr>
          <w:ilvl w:val="0"/>
          <w:numId w:val="3"/>
        </w:numPr>
      </w:pPr>
      <w:r>
        <w:rPr>
          <w:rFonts w:ascii="Cambria" w:eastAsia="Cambria" w:hAnsi="Cambria" w:cs="Cambria"/>
          <w:color w:val="000000"/>
          <w:bdr w:val="nil"/>
          <w:lang w:val="fr-FR"/>
        </w:rPr>
        <w:t xml:space="preserve"> MATÉRIAUX</w:t>
      </w:r>
    </w:p>
    <w:p w14:paraId="1B577EC0" w14:textId="20E3862B" w:rsidR="00DF0C85" w:rsidRPr="00DF0C85" w:rsidRDefault="00DF0C85" w:rsidP="00DF0C85">
      <w:pPr>
        <w:pStyle w:val="ListParagraph"/>
      </w:pPr>
    </w:p>
    <w:p w14:paraId="4CDD5A37" w14:textId="5DAD2DA5" w:rsidR="00DF0C85" w:rsidRDefault="00637065" w:rsidP="00510248">
      <w:pPr>
        <w:pStyle w:val="Heading2"/>
        <w:keepNext w:val="0"/>
        <w:keepLines w:val="0"/>
        <w:numPr>
          <w:ilvl w:val="1"/>
          <w:numId w:val="17"/>
        </w:numPr>
        <w:tabs>
          <w:tab w:val="clear" w:pos="1080"/>
        </w:tabs>
        <w:jc w:val="both"/>
        <w:rPr>
          <w:szCs w:val="24"/>
        </w:rPr>
      </w:pPr>
      <w:bookmarkStart w:id="10" w:name="_Hlk5262248"/>
      <w:r>
        <w:rPr>
          <w:rFonts w:ascii="Cambria" w:eastAsia="Cambria" w:hAnsi="Cambria" w:cs="Cambria"/>
          <w:color w:val="auto"/>
          <w:szCs w:val="24"/>
          <w:bdr w:val="nil"/>
          <w:lang w:val="fr-FR"/>
        </w:rPr>
        <w:t xml:space="preserve">Matériaux </w:t>
      </w:r>
      <w:r>
        <w:rPr>
          <w:rFonts w:ascii="Cambria" w:eastAsia="Cambria" w:hAnsi="Cambria" w:cs="Cambria"/>
          <w:color w:val="auto"/>
          <w:szCs w:val="24"/>
          <w:bdr w:val="nil"/>
          <w:lang w:val="fr-FR"/>
        </w:rPr>
        <w:t>de</w:t>
      </w:r>
      <w:r>
        <w:rPr>
          <w:rFonts w:ascii="Cambria" w:eastAsia="Cambria" w:hAnsi="Cambria" w:cs="Cambria"/>
          <w:color w:val="000000"/>
          <w:szCs w:val="24"/>
          <w:bdr w:val="nil"/>
          <w:lang w:val="fr-FR"/>
        </w:rPr>
        <w:t xml:space="preserve"> remblayage et de tranchée : le remblai utilisé doit être de qualité (propre), exempt de tout type d'impuretés ou autres particules pouvant nuire à son intégrité structurelle.</w:t>
      </w:r>
      <w:r>
        <w:rPr>
          <w:rFonts w:ascii="Cambria" w:eastAsia="Cambria" w:hAnsi="Cambria" w:cs="Cambria"/>
          <w:color w:val="000000"/>
          <w:szCs w:val="24"/>
          <w:bdr w:val="nil"/>
          <w:lang w:val="fr-FR"/>
        </w:rPr>
        <w:t xml:space="preserve"> La source du matériau ne doit pas être changée pendant la construction.</w:t>
      </w:r>
    </w:p>
    <w:p w14:paraId="4C2777B1" w14:textId="7AA73538" w:rsidR="00CA4558" w:rsidRPr="00541E46" w:rsidRDefault="00637065" w:rsidP="00510248">
      <w:pPr>
        <w:pStyle w:val="Heading2"/>
        <w:keepNext w:val="0"/>
        <w:keepLines w:val="0"/>
        <w:numPr>
          <w:ilvl w:val="1"/>
          <w:numId w:val="17"/>
        </w:numPr>
        <w:tabs>
          <w:tab w:val="clear" w:pos="1080"/>
        </w:tabs>
        <w:jc w:val="both"/>
        <w:rPr>
          <w:szCs w:val="24"/>
        </w:rPr>
      </w:pPr>
      <w:r>
        <w:rPr>
          <w:rFonts w:ascii="Cambria" w:eastAsia="Cambria" w:hAnsi="Cambria" w:cs="Cambria"/>
          <w:color w:val="000000"/>
          <w:szCs w:val="24"/>
          <w:bdr w:val="nil"/>
          <w:lang w:val="fr-FR"/>
        </w:rPr>
        <w:t>La gradation suivante est requise et doit en outre contenir 15 % ou moins de limon et d'argile</w:t>
      </w:r>
    </w:p>
    <w:p w14:paraId="34A8A0C8" w14:textId="0306984E" w:rsidR="00CA4558" w:rsidRPr="00CA4558" w:rsidRDefault="00637065" w:rsidP="00CA4558">
      <w:pPr>
        <w:spacing w:after="0" w:line="240" w:lineRule="auto"/>
        <w:ind w:left="1440" w:hanging="360"/>
        <w:rPr>
          <w:rFonts w:ascii="Times New Roman" w:eastAsia="Times New Roman" w:hAnsi="Times New Roman" w:cs="Times New Roman"/>
          <w:color w:val="000000"/>
          <w:sz w:val="20"/>
          <w:szCs w:val="20"/>
        </w:rPr>
      </w:pPr>
      <w:r w:rsidRPr="00CA4558">
        <w:rPr>
          <w:rFonts w:ascii="Arial" w:eastAsia="Times New Roman" w:hAnsi="Arial" w:cs="Arial"/>
          <w:color w:val="000000"/>
          <w:sz w:val="20"/>
          <w:szCs w:val="20"/>
        </w:rPr>
        <w:t> </w:t>
      </w:r>
    </w:p>
    <w:tbl>
      <w:tblPr>
        <w:tblW w:w="0" w:type="auto"/>
        <w:tblInd w:w="2100" w:type="dxa"/>
        <w:tblCellMar>
          <w:left w:w="0" w:type="dxa"/>
          <w:right w:w="0" w:type="dxa"/>
        </w:tblCellMar>
        <w:tblLook w:val="04A0" w:firstRow="1" w:lastRow="0" w:firstColumn="1" w:lastColumn="0" w:noHBand="0" w:noVBand="1"/>
      </w:tblPr>
      <w:tblGrid>
        <w:gridCol w:w="2700"/>
        <w:gridCol w:w="2700"/>
      </w:tblGrid>
      <w:tr w:rsidR="00B943E4" w14:paraId="450B30FD" w14:textId="77777777" w:rsidTr="00CA4558">
        <w:trPr>
          <w:trHeight w:val="240"/>
        </w:trPr>
        <w:tc>
          <w:tcPr>
            <w:tcW w:w="2700" w:type="dxa"/>
            <w:tcBorders>
              <w:top w:val="single" w:sz="8" w:space="0" w:color="auto"/>
              <w:left w:val="single" w:sz="8" w:space="0" w:color="auto"/>
              <w:bottom w:val="single" w:sz="8" w:space="0" w:color="auto"/>
              <w:right w:val="single" w:sz="8" w:space="0" w:color="auto"/>
            </w:tcBorders>
            <w:tcMar>
              <w:top w:w="0" w:type="dxa"/>
              <w:left w:w="120" w:type="dxa"/>
              <w:bottom w:w="0" w:type="dxa"/>
              <w:right w:w="120" w:type="dxa"/>
            </w:tcMar>
            <w:hideMark/>
          </w:tcPr>
          <w:p w14:paraId="442CE276" w14:textId="77777777"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b/>
                <w:bCs/>
                <w:sz w:val="20"/>
                <w:szCs w:val="20"/>
                <w:bdr w:val="nil"/>
                <w:lang w:val="fr-FR"/>
              </w:rPr>
              <w:t>Tamis</w:t>
            </w:r>
          </w:p>
        </w:tc>
        <w:tc>
          <w:tcPr>
            <w:tcW w:w="2700" w:type="dxa"/>
            <w:tcBorders>
              <w:top w:val="single" w:sz="8" w:space="0" w:color="auto"/>
              <w:left w:val="nil"/>
              <w:bottom w:val="single" w:sz="8" w:space="0" w:color="auto"/>
              <w:right w:val="single" w:sz="8" w:space="0" w:color="auto"/>
            </w:tcBorders>
            <w:tcMar>
              <w:top w:w="0" w:type="dxa"/>
              <w:left w:w="120" w:type="dxa"/>
              <w:bottom w:w="0" w:type="dxa"/>
              <w:right w:w="120" w:type="dxa"/>
            </w:tcMar>
            <w:hideMark/>
          </w:tcPr>
          <w:p w14:paraId="08F89F7D" w14:textId="77777777"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b/>
                <w:bCs/>
                <w:sz w:val="20"/>
                <w:szCs w:val="20"/>
                <w:bdr w:val="nil"/>
                <w:lang w:val="fr-FR"/>
              </w:rPr>
              <w:t>Pourcentage passant</w:t>
            </w:r>
          </w:p>
        </w:tc>
      </w:tr>
      <w:tr w:rsidR="00B943E4" w14:paraId="08E3CA9B" w14:textId="77777777" w:rsidTr="00CA4558">
        <w:trPr>
          <w:trHeight w:val="240"/>
        </w:trPr>
        <w:tc>
          <w:tcPr>
            <w:tcW w:w="2700" w:type="dxa"/>
            <w:tcBorders>
              <w:top w:val="nil"/>
              <w:left w:val="single" w:sz="8" w:space="0" w:color="auto"/>
              <w:bottom w:val="single" w:sz="8" w:space="0" w:color="auto"/>
              <w:right w:val="single" w:sz="8" w:space="0" w:color="auto"/>
            </w:tcBorders>
            <w:tcMar>
              <w:top w:w="0" w:type="dxa"/>
              <w:left w:w="120" w:type="dxa"/>
              <w:bottom w:w="0" w:type="dxa"/>
              <w:right w:w="120" w:type="dxa"/>
            </w:tcMar>
            <w:hideMark/>
          </w:tcPr>
          <w:p w14:paraId="596324B0" w14:textId="62C4A2EB"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sz w:val="20"/>
                <w:szCs w:val="20"/>
                <w:bdr w:val="nil"/>
                <w:lang w:val="fr-FR"/>
              </w:rPr>
              <w:t>63 mm</w:t>
            </w:r>
          </w:p>
        </w:tc>
        <w:tc>
          <w:tcPr>
            <w:tcW w:w="2700" w:type="dxa"/>
            <w:tcBorders>
              <w:top w:val="nil"/>
              <w:left w:val="nil"/>
              <w:bottom w:val="single" w:sz="8" w:space="0" w:color="auto"/>
              <w:right w:val="single" w:sz="8" w:space="0" w:color="auto"/>
            </w:tcBorders>
            <w:tcMar>
              <w:top w:w="0" w:type="dxa"/>
              <w:left w:w="120" w:type="dxa"/>
              <w:bottom w:w="0" w:type="dxa"/>
              <w:right w:w="120" w:type="dxa"/>
            </w:tcMar>
            <w:hideMark/>
          </w:tcPr>
          <w:p w14:paraId="4B83586A" w14:textId="77777777" w:rsidR="00CA4558" w:rsidRPr="00CA4558" w:rsidRDefault="00637065" w:rsidP="00CA4558">
            <w:pPr>
              <w:spacing w:after="0" w:line="240" w:lineRule="auto"/>
              <w:jc w:val="center"/>
              <w:rPr>
                <w:rFonts w:ascii="Times New Roman" w:eastAsia="Times New Roman" w:hAnsi="Times New Roman" w:cs="Times New Roman"/>
                <w:sz w:val="24"/>
                <w:szCs w:val="24"/>
              </w:rPr>
            </w:pPr>
            <w:r w:rsidRPr="00CA4558">
              <w:rPr>
                <w:rFonts w:ascii="Arial" w:eastAsia="Times New Roman" w:hAnsi="Arial" w:cs="Arial"/>
                <w:sz w:val="20"/>
                <w:szCs w:val="20"/>
              </w:rPr>
              <w:t>100</w:t>
            </w:r>
          </w:p>
        </w:tc>
      </w:tr>
      <w:tr w:rsidR="00B943E4" w14:paraId="0C695590" w14:textId="77777777" w:rsidTr="00CA4558">
        <w:trPr>
          <w:trHeight w:val="240"/>
        </w:trPr>
        <w:tc>
          <w:tcPr>
            <w:tcW w:w="2700" w:type="dxa"/>
            <w:tcBorders>
              <w:top w:val="nil"/>
              <w:left w:val="single" w:sz="8" w:space="0" w:color="auto"/>
              <w:bottom w:val="single" w:sz="8" w:space="0" w:color="auto"/>
              <w:right w:val="single" w:sz="8" w:space="0" w:color="auto"/>
            </w:tcBorders>
            <w:tcMar>
              <w:top w:w="0" w:type="dxa"/>
              <w:left w:w="120" w:type="dxa"/>
              <w:bottom w:w="0" w:type="dxa"/>
              <w:right w:w="120" w:type="dxa"/>
            </w:tcMar>
            <w:hideMark/>
          </w:tcPr>
          <w:p w14:paraId="25E04599" w14:textId="449A9F86"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sz w:val="20"/>
                <w:szCs w:val="20"/>
                <w:bdr w:val="nil"/>
                <w:lang w:val="fr-FR"/>
              </w:rPr>
              <w:t>50 mm</w:t>
            </w:r>
          </w:p>
        </w:tc>
        <w:tc>
          <w:tcPr>
            <w:tcW w:w="2700" w:type="dxa"/>
            <w:tcBorders>
              <w:top w:val="nil"/>
              <w:left w:val="nil"/>
              <w:bottom w:val="single" w:sz="8" w:space="0" w:color="auto"/>
              <w:right w:val="single" w:sz="8" w:space="0" w:color="auto"/>
            </w:tcBorders>
            <w:tcMar>
              <w:top w:w="0" w:type="dxa"/>
              <w:left w:w="120" w:type="dxa"/>
              <w:bottom w:w="0" w:type="dxa"/>
              <w:right w:w="120" w:type="dxa"/>
            </w:tcMar>
            <w:hideMark/>
          </w:tcPr>
          <w:p w14:paraId="27DAB548" w14:textId="77777777"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sz w:val="20"/>
                <w:szCs w:val="20"/>
                <w:bdr w:val="nil"/>
                <w:lang w:val="fr-FR"/>
              </w:rPr>
              <w:t>90 à 100</w:t>
            </w:r>
          </w:p>
        </w:tc>
      </w:tr>
      <w:tr w:rsidR="00B943E4" w14:paraId="75E7E2CF" w14:textId="77777777" w:rsidTr="00CA4558">
        <w:trPr>
          <w:trHeight w:val="240"/>
        </w:trPr>
        <w:tc>
          <w:tcPr>
            <w:tcW w:w="2700" w:type="dxa"/>
            <w:tcBorders>
              <w:top w:val="nil"/>
              <w:left w:val="single" w:sz="8" w:space="0" w:color="auto"/>
              <w:bottom w:val="single" w:sz="8" w:space="0" w:color="auto"/>
              <w:right w:val="single" w:sz="8" w:space="0" w:color="auto"/>
            </w:tcBorders>
            <w:tcMar>
              <w:top w:w="0" w:type="dxa"/>
              <w:left w:w="120" w:type="dxa"/>
              <w:bottom w:w="0" w:type="dxa"/>
              <w:right w:w="120" w:type="dxa"/>
            </w:tcMar>
            <w:hideMark/>
          </w:tcPr>
          <w:p w14:paraId="400436F3" w14:textId="5A9ECE48"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sz w:val="20"/>
                <w:szCs w:val="20"/>
                <w:bdr w:val="nil"/>
                <w:lang w:val="fr-FR"/>
              </w:rPr>
              <w:t>37,5 mm</w:t>
            </w:r>
          </w:p>
        </w:tc>
        <w:tc>
          <w:tcPr>
            <w:tcW w:w="2700" w:type="dxa"/>
            <w:tcBorders>
              <w:top w:val="nil"/>
              <w:left w:val="nil"/>
              <w:bottom w:val="single" w:sz="8" w:space="0" w:color="auto"/>
              <w:right w:val="single" w:sz="8" w:space="0" w:color="auto"/>
            </w:tcBorders>
            <w:tcMar>
              <w:top w:w="0" w:type="dxa"/>
              <w:left w:w="120" w:type="dxa"/>
              <w:bottom w:w="0" w:type="dxa"/>
              <w:right w:w="120" w:type="dxa"/>
            </w:tcMar>
            <w:hideMark/>
          </w:tcPr>
          <w:p w14:paraId="7CBCE69C" w14:textId="77777777"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sz w:val="20"/>
                <w:szCs w:val="20"/>
                <w:bdr w:val="nil"/>
                <w:lang w:val="fr-FR"/>
              </w:rPr>
              <w:t>35 à 70</w:t>
            </w:r>
          </w:p>
        </w:tc>
      </w:tr>
      <w:tr w:rsidR="00B943E4" w14:paraId="028528FC" w14:textId="77777777" w:rsidTr="00CA4558">
        <w:trPr>
          <w:trHeight w:val="240"/>
        </w:trPr>
        <w:tc>
          <w:tcPr>
            <w:tcW w:w="2700" w:type="dxa"/>
            <w:tcBorders>
              <w:top w:val="nil"/>
              <w:left w:val="single" w:sz="8" w:space="0" w:color="auto"/>
              <w:bottom w:val="single" w:sz="8" w:space="0" w:color="auto"/>
              <w:right w:val="single" w:sz="8" w:space="0" w:color="auto"/>
            </w:tcBorders>
            <w:tcMar>
              <w:top w:w="0" w:type="dxa"/>
              <w:left w:w="120" w:type="dxa"/>
              <w:bottom w:w="0" w:type="dxa"/>
              <w:right w:w="120" w:type="dxa"/>
            </w:tcMar>
            <w:hideMark/>
          </w:tcPr>
          <w:p w14:paraId="5BF50E04" w14:textId="48ECBDAA"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sz w:val="20"/>
                <w:szCs w:val="20"/>
                <w:bdr w:val="nil"/>
                <w:lang w:val="fr-FR"/>
              </w:rPr>
              <w:t>25 mm</w:t>
            </w:r>
          </w:p>
        </w:tc>
        <w:tc>
          <w:tcPr>
            <w:tcW w:w="2700" w:type="dxa"/>
            <w:tcBorders>
              <w:top w:val="nil"/>
              <w:left w:val="nil"/>
              <w:bottom w:val="single" w:sz="8" w:space="0" w:color="auto"/>
              <w:right w:val="single" w:sz="8" w:space="0" w:color="auto"/>
            </w:tcBorders>
            <w:tcMar>
              <w:top w:w="0" w:type="dxa"/>
              <w:left w:w="120" w:type="dxa"/>
              <w:bottom w:w="0" w:type="dxa"/>
              <w:right w:w="120" w:type="dxa"/>
            </w:tcMar>
            <w:hideMark/>
          </w:tcPr>
          <w:p w14:paraId="6327A22B" w14:textId="77777777"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sz w:val="20"/>
                <w:szCs w:val="20"/>
                <w:bdr w:val="nil"/>
                <w:lang w:val="fr-FR"/>
              </w:rPr>
              <w:t>0 à 20</w:t>
            </w:r>
          </w:p>
        </w:tc>
      </w:tr>
      <w:tr w:rsidR="00B943E4" w14:paraId="6B4FF76F" w14:textId="77777777" w:rsidTr="00CA4558">
        <w:trPr>
          <w:trHeight w:val="240"/>
        </w:trPr>
        <w:tc>
          <w:tcPr>
            <w:tcW w:w="2700" w:type="dxa"/>
            <w:tcBorders>
              <w:top w:val="nil"/>
              <w:left w:val="single" w:sz="8" w:space="0" w:color="auto"/>
              <w:bottom w:val="single" w:sz="8" w:space="0" w:color="auto"/>
              <w:right w:val="single" w:sz="8" w:space="0" w:color="auto"/>
            </w:tcBorders>
            <w:tcMar>
              <w:top w:w="0" w:type="dxa"/>
              <w:left w:w="120" w:type="dxa"/>
              <w:bottom w:w="0" w:type="dxa"/>
              <w:right w:w="120" w:type="dxa"/>
            </w:tcMar>
            <w:hideMark/>
          </w:tcPr>
          <w:p w14:paraId="49820B76" w14:textId="218B403A"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Times New Roman" w:hAnsi="Arial" w:cs="Arial"/>
                <w:sz w:val="20"/>
                <w:szCs w:val="20"/>
              </w:rPr>
              <w:t>12.5</w:t>
            </w:r>
          </w:p>
        </w:tc>
        <w:tc>
          <w:tcPr>
            <w:tcW w:w="2700" w:type="dxa"/>
            <w:tcBorders>
              <w:top w:val="nil"/>
              <w:left w:val="nil"/>
              <w:bottom w:val="single" w:sz="8" w:space="0" w:color="auto"/>
              <w:right w:val="single" w:sz="8" w:space="0" w:color="auto"/>
            </w:tcBorders>
            <w:tcMar>
              <w:top w:w="0" w:type="dxa"/>
              <w:left w:w="120" w:type="dxa"/>
              <w:bottom w:w="0" w:type="dxa"/>
              <w:right w:w="120" w:type="dxa"/>
            </w:tcMar>
            <w:hideMark/>
          </w:tcPr>
          <w:p w14:paraId="1CFE8563" w14:textId="77777777" w:rsidR="00CA4558" w:rsidRPr="00CA4558" w:rsidRDefault="00637065" w:rsidP="00CA4558">
            <w:pPr>
              <w:spacing w:after="0" w:line="240" w:lineRule="auto"/>
              <w:jc w:val="center"/>
              <w:rPr>
                <w:rFonts w:ascii="Times New Roman" w:eastAsia="Times New Roman" w:hAnsi="Times New Roman" w:cs="Times New Roman"/>
                <w:sz w:val="24"/>
                <w:szCs w:val="24"/>
              </w:rPr>
            </w:pPr>
            <w:r>
              <w:rPr>
                <w:rFonts w:ascii="Arial" w:eastAsia="Arial" w:hAnsi="Arial" w:cs="Arial"/>
                <w:sz w:val="20"/>
                <w:szCs w:val="20"/>
                <w:bdr w:val="nil"/>
                <w:lang w:val="fr-FR"/>
              </w:rPr>
              <w:t>0 à 5</w:t>
            </w:r>
          </w:p>
        </w:tc>
      </w:tr>
    </w:tbl>
    <w:p w14:paraId="67964FB6" w14:textId="2F0D8C87" w:rsidR="00CA4558" w:rsidRPr="009E1192" w:rsidRDefault="00637065" w:rsidP="00510248">
      <w:pPr>
        <w:pStyle w:val="Heading2"/>
        <w:ind w:left="1080" w:hanging="360"/>
      </w:pPr>
      <w:r>
        <w:rPr>
          <w:rFonts w:ascii="Cambria" w:eastAsia="Cambria" w:hAnsi="Cambria" w:cs="Cambria"/>
          <w:color w:val="000000"/>
          <w:szCs w:val="24"/>
          <w:bdr w:val="nil"/>
          <w:lang w:val="fr-FR"/>
        </w:rPr>
        <w:lastRenderedPageBreak/>
        <w:t>À la demande du sous-traitant, l'ingénieur peut autoriser une modification des matériaux de remblayage ou de remblai sous réserve de matériaux disponibles localement au moment de la construction, mais n'est pas obligé d'accepter cette substitution</w:t>
      </w:r>
    </w:p>
    <w:bookmarkEnd w:id="10"/>
    <w:p w14:paraId="784057F3" w14:textId="0E2F1B6D" w:rsidR="008D4859" w:rsidRPr="008D4859" w:rsidRDefault="008D4859" w:rsidP="008D4859">
      <w:pPr>
        <w:rPr>
          <w:rFonts w:asciiTheme="majorHAnsi" w:hAnsiTheme="majorHAnsi"/>
          <w:color w:val="00B0F0"/>
        </w:rPr>
      </w:pPr>
    </w:p>
    <w:p w14:paraId="0F9255D9" w14:textId="377B25BE" w:rsidR="00832136" w:rsidRDefault="00637065" w:rsidP="004D0F1D">
      <w:pPr>
        <w:rPr>
          <w:rFonts w:ascii="Times New Roman" w:hAnsi="Times New Roman" w:cs="Times New Roman"/>
          <w:b/>
        </w:rPr>
      </w:pPr>
      <w:bookmarkStart w:id="11" w:name="_Hlk5187283"/>
      <w:r>
        <w:rPr>
          <w:rFonts w:ascii="Times New Roman" w:eastAsia="Times New Roman" w:hAnsi="Times New Roman" w:cs="Times New Roman"/>
          <w:b/>
          <w:bCs/>
          <w:bdr w:val="nil"/>
          <w:lang w:val="fr-FR"/>
        </w:rPr>
        <w:t>PARTIE 3 - EXÉCUTION</w:t>
      </w:r>
    </w:p>
    <w:p w14:paraId="28D2DB9C" w14:textId="4A7DB91B" w:rsidR="00D3521B" w:rsidRPr="00722AE6" w:rsidRDefault="00637065" w:rsidP="00510248">
      <w:pPr>
        <w:pStyle w:val="Heading1"/>
        <w:keepNext w:val="0"/>
        <w:keepLines w:val="0"/>
        <w:numPr>
          <w:ilvl w:val="0"/>
          <w:numId w:val="23"/>
        </w:numPr>
        <w:rPr>
          <w:rFonts w:cs="Times New Roman"/>
        </w:rPr>
      </w:pPr>
      <w:r>
        <w:rPr>
          <w:rFonts w:ascii="Cambria" w:eastAsia="Cambria" w:hAnsi="Cambria" w:cs="Cambria"/>
          <w:color w:val="000000"/>
          <w:bdr w:val="nil"/>
          <w:lang w:val="fr-FR"/>
        </w:rPr>
        <w:t>GÉNÉRAL : EXCAVATION/REMPLISSAGE.</w:t>
      </w:r>
      <w:bookmarkEnd w:id="11"/>
    </w:p>
    <w:p w14:paraId="739315BF" w14:textId="6CB62CA8" w:rsidR="00D3521B" w:rsidRDefault="00D3521B" w:rsidP="00D3521B">
      <w:pPr>
        <w:pStyle w:val="ListParagraph"/>
        <w:ind w:left="1440"/>
        <w:jc w:val="both"/>
        <w:rPr>
          <w:rFonts w:asciiTheme="majorHAnsi" w:hAnsiTheme="majorHAnsi" w:cs="Times New Roman"/>
          <w:color w:val="00B0F0"/>
        </w:rPr>
      </w:pPr>
    </w:p>
    <w:p w14:paraId="28210687" w14:textId="4CA16CA0" w:rsidR="00722AE6" w:rsidRPr="009E1192" w:rsidRDefault="00637065" w:rsidP="00510248">
      <w:pPr>
        <w:pStyle w:val="Heading2"/>
        <w:keepNext w:val="0"/>
        <w:keepLines w:val="0"/>
        <w:numPr>
          <w:ilvl w:val="1"/>
          <w:numId w:val="25"/>
        </w:numPr>
        <w:tabs>
          <w:tab w:val="clear" w:pos="1080"/>
        </w:tabs>
        <w:jc w:val="both"/>
        <w:rPr>
          <w:szCs w:val="24"/>
        </w:rPr>
      </w:pPr>
      <w:r>
        <w:rPr>
          <w:rFonts w:ascii="Cambria" w:eastAsia="Cambria" w:hAnsi="Cambria" w:cs="Cambria"/>
          <w:color w:val="auto"/>
          <w:szCs w:val="24"/>
          <w:bdr w:val="nil"/>
          <w:lang w:val="fr-FR"/>
        </w:rPr>
        <w:t>Le sous-traitant doit informer l'ingénieur suffisamment à l'avance avant de commencer les travaux d'excavation ou de remblayage pour faciliter les éventuelles vérifications né</w:t>
      </w:r>
      <w:r>
        <w:rPr>
          <w:rFonts w:ascii="Cambria" w:eastAsia="Cambria" w:hAnsi="Cambria" w:cs="Cambria"/>
          <w:color w:val="auto"/>
          <w:szCs w:val="24"/>
          <w:bdr w:val="nil"/>
          <w:lang w:val="fr-FR"/>
        </w:rPr>
        <w:t>cessaires au début des activités.</w:t>
      </w:r>
    </w:p>
    <w:p w14:paraId="648F27E5" w14:textId="31373681" w:rsidR="00722AE6" w:rsidRPr="009E1192" w:rsidRDefault="00637065" w:rsidP="00510248">
      <w:pPr>
        <w:pStyle w:val="Heading2"/>
        <w:keepNext w:val="0"/>
        <w:keepLines w:val="0"/>
        <w:numPr>
          <w:ilvl w:val="1"/>
          <w:numId w:val="25"/>
        </w:numPr>
        <w:tabs>
          <w:tab w:val="clear" w:pos="1080"/>
        </w:tabs>
        <w:jc w:val="both"/>
        <w:rPr>
          <w:szCs w:val="24"/>
        </w:rPr>
      </w:pPr>
      <w:r>
        <w:rPr>
          <w:rFonts w:ascii="Cambria" w:eastAsia="Cambria" w:hAnsi="Cambria" w:cs="Cambria"/>
          <w:color w:val="auto"/>
          <w:szCs w:val="24"/>
          <w:bdr w:val="nil"/>
          <w:lang w:val="fr-FR"/>
        </w:rPr>
        <w:t xml:space="preserve">Le sous-traitant ne doit pas excaver au-delà des dimensions et des élévations établies dans le dossier technique. </w:t>
      </w:r>
    </w:p>
    <w:p w14:paraId="4ADDE798" w14:textId="77777777" w:rsidR="00722AE6" w:rsidRPr="009E1192" w:rsidRDefault="00637065" w:rsidP="00510248">
      <w:pPr>
        <w:pStyle w:val="Heading2"/>
        <w:keepNext w:val="0"/>
        <w:keepLines w:val="0"/>
        <w:numPr>
          <w:ilvl w:val="1"/>
          <w:numId w:val="25"/>
        </w:numPr>
        <w:tabs>
          <w:tab w:val="clear" w:pos="1080"/>
        </w:tabs>
        <w:jc w:val="both"/>
        <w:rPr>
          <w:szCs w:val="24"/>
        </w:rPr>
      </w:pPr>
      <w:r>
        <w:rPr>
          <w:rFonts w:ascii="Cambria" w:eastAsia="Cambria" w:hAnsi="Cambria" w:cs="Cambria"/>
          <w:color w:val="auto"/>
          <w:szCs w:val="24"/>
          <w:bdr w:val="nil"/>
          <w:lang w:val="fr-FR"/>
        </w:rPr>
        <w:t>Les matériaux ne doivent pas être gaspillés sans la permission de l'ingénieur.</w:t>
      </w:r>
    </w:p>
    <w:p w14:paraId="23DC1501" w14:textId="43A0287E" w:rsidR="00D3521B" w:rsidRPr="009E1192" w:rsidRDefault="00637065" w:rsidP="00510248">
      <w:pPr>
        <w:pStyle w:val="Heading2"/>
        <w:keepNext w:val="0"/>
        <w:keepLines w:val="0"/>
        <w:numPr>
          <w:ilvl w:val="1"/>
          <w:numId w:val="25"/>
        </w:numPr>
        <w:tabs>
          <w:tab w:val="clear" w:pos="1080"/>
        </w:tabs>
        <w:jc w:val="both"/>
        <w:rPr>
          <w:szCs w:val="24"/>
        </w:rPr>
      </w:pPr>
      <w:r>
        <w:rPr>
          <w:rFonts w:ascii="Cambria" w:eastAsia="Cambria" w:hAnsi="Cambria" w:cs="Cambria"/>
          <w:color w:val="auto"/>
          <w:szCs w:val="24"/>
          <w:bdr w:val="nil"/>
          <w:lang w:val="fr-FR"/>
        </w:rPr>
        <w:t>Avant de commencer les opérations de nivellemen</w:t>
      </w:r>
      <w:r>
        <w:rPr>
          <w:rFonts w:ascii="Cambria" w:eastAsia="Cambria" w:hAnsi="Cambria" w:cs="Cambria"/>
          <w:color w:val="auto"/>
          <w:szCs w:val="24"/>
          <w:bdr w:val="nil"/>
          <w:lang w:val="fr-FR"/>
        </w:rPr>
        <w:t>t dans une zone, toutes les opérations de défrichage et d'arrachage nécessaires dans cette zone doivent avoir été effectuées conformément à la Section 31 11 00, Nettoyage et arrachage.</w:t>
      </w:r>
    </w:p>
    <w:p w14:paraId="57EBD2F2" w14:textId="77777777" w:rsidR="00B95467" w:rsidRPr="00B95467" w:rsidRDefault="00B95467" w:rsidP="00B95467">
      <w:pPr>
        <w:pStyle w:val="ListParagraph"/>
        <w:ind w:left="1440"/>
        <w:rPr>
          <w:rFonts w:ascii="Times New Roman" w:hAnsi="Times New Roman" w:cs="Times New Roman"/>
          <w:color w:val="00B0F0"/>
        </w:rPr>
      </w:pPr>
    </w:p>
    <w:p w14:paraId="19AC02E1" w14:textId="4BA72301" w:rsidR="00233F17" w:rsidRDefault="00637065" w:rsidP="00510248">
      <w:pPr>
        <w:pStyle w:val="Heading1"/>
        <w:keepNext w:val="0"/>
        <w:keepLines w:val="0"/>
        <w:numPr>
          <w:ilvl w:val="0"/>
          <w:numId w:val="23"/>
        </w:numPr>
        <w:rPr>
          <w:rFonts w:ascii="Times New Roman" w:hAnsi="Times New Roman" w:cs="Times New Roman"/>
        </w:rPr>
      </w:pPr>
      <w:bookmarkStart w:id="12" w:name="_Hlk5187386"/>
      <w:r>
        <w:rPr>
          <w:rFonts w:ascii="Times New Roman" w:eastAsia="Times New Roman" w:hAnsi="Times New Roman" w:cs="Times New Roman"/>
          <w:color w:val="000000"/>
          <w:bdr w:val="nil"/>
          <w:lang w:val="fr-FR"/>
        </w:rPr>
        <w:t xml:space="preserve">PRÉPARATION ET </w:t>
      </w:r>
      <w:r>
        <w:rPr>
          <w:rFonts w:ascii="Cambria" w:eastAsia="Cambria" w:hAnsi="Cambria" w:cs="Cambria"/>
          <w:color w:val="000000"/>
          <w:bdr w:val="nil"/>
          <w:lang w:val="fr-FR"/>
        </w:rPr>
        <w:t>INSTALLATION</w:t>
      </w:r>
      <w:r>
        <w:rPr>
          <w:rFonts w:ascii="Times New Roman" w:eastAsia="Times New Roman" w:hAnsi="Times New Roman" w:cs="Times New Roman"/>
          <w:color w:val="000000"/>
          <w:bdr w:val="nil"/>
          <w:lang w:val="fr-FR"/>
        </w:rPr>
        <w:t xml:space="preserve"> (Excavation et remplissage)</w:t>
      </w:r>
    </w:p>
    <w:p w14:paraId="65F6C12A" w14:textId="77777777" w:rsidR="00233F17" w:rsidRPr="00233F17" w:rsidRDefault="00233F17" w:rsidP="00233F17">
      <w:pPr>
        <w:pStyle w:val="ListParagraph"/>
        <w:rPr>
          <w:rFonts w:ascii="Times New Roman" w:hAnsi="Times New Roman" w:cs="Times New Roman"/>
        </w:rPr>
      </w:pPr>
    </w:p>
    <w:p w14:paraId="780ABD0B" w14:textId="54422102" w:rsidR="00832136" w:rsidRPr="009E1192" w:rsidRDefault="00637065" w:rsidP="00510248">
      <w:pPr>
        <w:pStyle w:val="Heading2"/>
        <w:keepNext w:val="0"/>
        <w:keepLines w:val="0"/>
        <w:numPr>
          <w:ilvl w:val="1"/>
          <w:numId w:val="27"/>
        </w:numPr>
        <w:tabs>
          <w:tab w:val="clear" w:pos="1080"/>
        </w:tabs>
        <w:jc w:val="both"/>
        <w:rPr>
          <w:szCs w:val="24"/>
        </w:rPr>
      </w:pPr>
      <w:r>
        <w:rPr>
          <w:rFonts w:ascii="Cambria" w:eastAsia="Cambria" w:hAnsi="Cambria" w:cs="Cambria"/>
          <w:color w:val="auto"/>
          <w:szCs w:val="24"/>
          <w:bdr w:val="nil"/>
          <w:lang w:val="fr-FR"/>
        </w:rPr>
        <w:t>Les remblais doivent être placés après au moins 72 heures de conditions météorologiques complètement sèches. Enlevez l’eau stagnante et grattez la boue, à éliminer conformément à la section 01 74 00. Effectuez</w:t>
      </w:r>
      <w:r>
        <w:rPr>
          <w:rFonts w:ascii="Cambria" w:eastAsia="Cambria" w:hAnsi="Cambria" w:cs="Cambria"/>
          <w:color w:val="auto"/>
          <w:szCs w:val="24"/>
          <w:bdr w:val="nil"/>
          <w:lang w:val="fr-FR"/>
        </w:rPr>
        <w:t xml:space="preserve"> les corrections nécessaires à la base du terrain naturel avant de déposer le gravier sur le site.</w:t>
      </w:r>
    </w:p>
    <w:p w14:paraId="080F7682" w14:textId="1683D301" w:rsidR="0004347E" w:rsidRPr="009E1192" w:rsidRDefault="00637065" w:rsidP="00510248">
      <w:pPr>
        <w:pStyle w:val="Heading2"/>
        <w:keepNext w:val="0"/>
        <w:keepLines w:val="0"/>
        <w:numPr>
          <w:ilvl w:val="1"/>
          <w:numId w:val="27"/>
        </w:numPr>
        <w:tabs>
          <w:tab w:val="clear" w:pos="1080"/>
        </w:tabs>
        <w:jc w:val="both"/>
        <w:rPr>
          <w:szCs w:val="24"/>
        </w:rPr>
      </w:pPr>
      <w:r>
        <w:rPr>
          <w:rFonts w:ascii="Cambria" w:eastAsia="Cambria" w:hAnsi="Cambria" w:cs="Cambria"/>
          <w:color w:val="auto"/>
          <w:szCs w:val="24"/>
          <w:bdr w:val="nil"/>
          <w:lang w:val="fr-FR"/>
        </w:rPr>
        <w:t>Le sous-traitant doit jalonner ou autrement définir l'alignement proposé des é</w:t>
      </w:r>
      <w:r>
        <w:rPr>
          <w:rFonts w:ascii="Cambria" w:eastAsia="Cambria" w:hAnsi="Cambria" w:cs="Cambria"/>
          <w:color w:val="auto"/>
          <w:szCs w:val="24"/>
          <w:bdr w:val="nil"/>
          <w:lang w:val="fr-FR"/>
        </w:rPr>
        <w:t>tendues de l'emplacement de la digue conformément aux dessins d'atelier. Obtenir l'approbation de l'ingénieur avant de déposer du gravier sur le site.</w:t>
      </w:r>
    </w:p>
    <w:p w14:paraId="5A428A81" w14:textId="158F969C" w:rsidR="0004347E" w:rsidRDefault="00637065" w:rsidP="00F47418">
      <w:pPr>
        <w:pStyle w:val="Heading2"/>
        <w:keepNext w:val="0"/>
        <w:keepLines w:val="0"/>
        <w:numPr>
          <w:ilvl w:val="1"/>
          <w:numId w:val="27"/>
        </w:numPr>
        <w:tabs>
          <w:tab w:val="clear" w:pos="1080"/>
        </w:tabs>
        <w:jc w:val="both"/>
        <w:rPr>
          <w:color w:val="auto"/>
          <w:szCs w:val="24"/>
        </w:rPr>
      </w:pPr>
      <w:r>
        <w:rPr>
          <w:rFonts w:ascii="Cambria" w:eastAsia="Cambria" w:hAnsi="Cambria" w:cs="Cambria"/>
          <w:color w:val="auto"/>
          <w:szCs w:val="24"/>
          <w:bdr w:val="nil"/>
          <w:lang w:val="fr-FR"/>
        </w:rPr>
        <w:t>Le sous-traitant doit s'as</w:t>
      </w:r>
      <w:r>
        <w:rPr>
          <w:rFonts w:ascii="Cambria" w:eastAsia="Cambria" w:hAnsi="Cambria" w:cs="Cambria"/>
          <w:color w:val="auto"/>
          <w:szCs w:val="24"/>
          <w:bdr w:val="nil"/>
          <w:lang w:val="fr-FR"/>
        </w:rPr>
        <w:t>surer que l'installation du remblai ne crée pas de problèmes de drainage ou d'eau stagnante sur le site.</w:t>
      </w:r>
    </w:p>
    <w:p w14:paraId="0E604A02" w14:textId="723E5598" w:rsidR="00FF5CDA" w:rsidRDefault="00637065" w:rsidP="00705124">
      <w:pPr>
        <w:pStyle w:val="Heading2"/>
        <w:keepNext w:val="0"/>
        <w:keepLines w:val="0"/>
        <w:numPr>
          <w:ilvl w:val="1"/>
          <w:numId w:val="27"/>
        </w:numPr>
        <w:tabs>
          <w:tab w:val="clear" w:pos="1080"/>
        </w:tabs>
        <w:jc w:val="both"/>
        <w:rPr>
          <w:color w:val="auto"/>
          <w:szCs w:val="24"/>
        </w:rPr>
      </w:pPr>
      <w:r>
        <w:rPr>
          <w:rFonts w:ascii="Cambria" w:eastAsia="Cambria" w:hAnsi="Cambria" w:cs="Cambria"/>
          <w:color w:val="000000"/>
          <w:szCs w:val="24"/>
          <w:bdr w:val="nil"/>
          <w:lang w:val="fr-FR"/>
        </w:rPr>
        <w:t>L'humidité sera maintenue au besoin pour respecter les densités de compa</w:t>
      </w:r>
      <w:r>
        <w:rPr>
          <w:rFonts w:ascii="Cambria" w:eastAsia="Cambria" w:hAnsi="Cambria" w:cs="Cambria"/>
          <w:color w:val="000000"/>
          <w:szCs w:val="24"/>
          <w:bdr w:val="nil"/>
          <w:lang w:val="fr-FR"/>
        </w:rPr>
        <w:t xml:space="preserve">ctage requises avant la mise en place du matériau, en utilisant des méthodes de mélange approuvées, telles qu'un dispositif de mélange mécanique. Mouiller </w:t>
      </w:r>
      <w:r>
        <w:rPr>
          <w:rFonts w:ascii="Cambria" w:eastAsia="Cambria" w:hAnsi="Cambria" w:cs="Cambria"/>
          <w:color w:val="auto"/>
          <w:szCs w:val="24"/>
          <w:bdr w:val="nil"/>
          <w:lang w:val="fr-FR"/>
        </w:rPr>
        <w:t xml:space="preserve"> </w:t>
      </w:r>
      <w:r>
        <w:rPr>
          <w:rFonts w:ascii="Cambria" w:eastAsia="Cambria" w:hAnsi="Cambria" w:cs="Cambria"/>
          <w:color w:val="000000"/>
          <w:szCs w:val="24"/>
          <w:bdr w:val="nil"/>
          <w:lang w:val="fr-FR"/>
        </w:rPr>
        <w:t xml:space="preserve">les agrégats par projection à partir voitures, bacs, stocks ou des camions ne sera pas autorisé. L'ajout d'eau au matériau pendant le compactage ne sera autorisé que s'il est nécessaire d'augmenter </w:t>
      </w:r>
      <w:r>
        <w:rPr>
          <w:rFonts w:ascii="Cambria" w:eastAsia="Cambria" w:hAnsi="Cambria" w:cs="Cambria"/>
          <w:color w:val="000000"/>
          <w:szCs w:val="24"/>
          <w:bdr w:val="nil"/>
          <w:lang w:val="fr-FR"/>
        </w:rPr>
        <w:t>le pourcentage d'humidité pour obtenir un compactage satisfaisant.</w:t>
      </w:r>
      <w:r>
        <w:rPr>
          <w:rFonts w:ascii="Cambria" w:eastAsia="Cambria" w:hAnsi="Cambria" w:cs="Cambria"/>
          <w:color w:val="auto"/>
          <w:szCs w:val="24"/>
          <w:bdr w:val="nil"/>
          <w:lang w:val="fr-FR"/>
        </w:rPr>
        <w:t xml:space="preserve"> </w:t>
      </w:r>
    </w:p>
    <w:p w14:paraId="56477FEF" w14:textId="7FD46936" w:rsidR="008400AC" w:rsidRPr="00510248" w:rsidRDefault="00637065" w:rsidP="00510248">
      <w:pPr>
        <w:pStyle w:val="Heading2"/>
        <w:keepNext w:val="0"/>
        <w:keepLines w:val="0"/>
        <w:numPr>
          <w:ilvl w:val="1"/>
          <w:numId w:val="27"/>
        </w:numPr>
        <w:tabs>
          <w:tab w:val="clear" w:pos="1080"/>
        </w:tabs>
        <w:jc w:val="both"/>
        <w:rPr>
          <w:color w:val="auto"/>
          <w:szCs w:val="24"/>
        </w:rPr>
      </w:pPr>
      <w:r>
        <w:rPr>
          <w:rFonts w:ascii="Cambria" w:eastAsia="Cambria" w:hAnsi="Cambria" w:cs="Cambria"/>
          <w:color w:val="000000"/>
          <w:szCs w:val="24"/>
          <w:bdr w:val="nil"/>
          <w:lang w:val="fr-FR"/>
        </w:rPr>
        <w:lastRenderedPageBreak/>
        <w:t>La sous-base doit être constru</w:t>
      </w:r>
      <w:r>
        <w:rPr>
          <w:rFonts w:ascii="Cambria" w:eastAsia="Cambria" w:hAnsi="Cambria" w:cs="Cambria"/>
          <w:color w:val="000000"/>
          <w:szCs w:val="24"/>
          <w:bdr w:val="nil"/>
          <w:lang w:val="fr-FR"/>
        </w:rPr>
        <w:t>ite avec des passes d'au plus 4 po. (100 mm) d’épaisseur une fois compacté, sauf  si les essais indiquent que les résultats souhaités sont obtenus, l’épaisseur compactée de tout appareil peut être augmentée à un maximum de 8 po. (200 mm). Le matériau granu</w:t>
      </w:r>
      <w:r>
        <w:rPr>
          <w:rFonts w:ascii="Cambria" w:eastAsia="Cambria" w:hAnsi="Cambria" w:cs="Cambria"/>
          <w:color w:val="000000"/>
          <w:szCs w:val="24"/>
          <w:bdr w:val="nil"/>
          <w:lang w:val="fr-FR"/>
        </w:rPr>
        <w:t>laire doit être déposé plein</w:t>
      </w:r>
      <w:r>
        <w:rPr>
          <w:rFonts w:ascii="Cambria" w:eastAsia="Cambria" w:hAnsi="Cambria" w:cs="Cambria"/>
          <w:color w:val="auto"/>
          <w:szCs w:val="24"/>
          <w:bdr w:val="nil"/>
          <w:lang w:val="fr-FR"/>
        </w:rPr>
        <w:t xml:space="preserve"> </w:t>
      </w:r>
      <w:r>
        <w:rPr>
          <w:rFonts w:ascii="Cambria" w:eastAsia="Cambria" w:hAnsi="Cambria" w:cs="Cambria"/>
          <w:color w:val="000000"/>
          <w:szCs w:val="24"/>
          <w:bdr w:val="nil"/>
          <w:lang w:val="fr-FR"/>
        </w:rPr>
        <w:t xml:space="preserve">largeur avec un épandeur mécanique ou une boîte d’épandage d’un type </w:t>
      </w:r>
      <w:r>
        <w:rPr>
          <w:rFonts w:ascii="Cambria" w:eastAsia="Cambria" w:hAnsi="Cambria" w:cs="Cambria"/>
          <w:color w:val="000000"/>
          <w:szCs w:val="24"/>
          <w:bdr w:val="nil"/>
          <w:lang w:val="fr-FR"/>
        </w:rPr>
        <w:t>approuvé par l’ingénieur, de manière à ne pas provoquer de ségrégation et nécessitant un minimum de démultiplication ou de manipulation. L'équipement et la méthode utilisés doivent être approuvés par l'ingénieur. Chaque passe doit être compactée immédiatem</w:t>
      </w:r>
      <w:r>
        <w:rPr>
          <w:rFonts w:ascii="Cambria" w:eastAsia="Cambria" w:hAnsi="Cambria" w:cs="Cambria"/>
          <w:color w:val="000000"/>
          <w:szCs w:val="24"/>
          <w:bdr w:val="nil"/>
          <w:lang w:val="fr-FR"/>
        </w:rPr>
        <w:t xml:space="preserve">ent après la mise en place. Le matériau granulaire doit être compacté à au moins 95% de la densité standard de laboratoire.  </w:t>
      </w:r>
      <w:bookmarkEnd w:id="12"/>
    </w:p>
    <w:p w14:paraId="08F7879A" w14:textId="77777777" w:rsidR="006B1422" w:rsidRPr="003D0891" w:rsidRDefault="00637065" w:rsidP="00510248">
      <w:pPr>
        <w:pStyle w:val="Heading1"/>
        <w:keepNext w:val="0"/>
        <w:keepLines w:val="0"/>
        <w:numPr>
          <w:ilvl w:val="0"/>
          <w:numId w:val="23"/>
        </w:numPr>
        <w:rPr>
          <w:rFonts w:ascii="Times New Roman" w:hAnsi="Times New Roman" w:cs="Times New Roman"/>
        </w:rPr>
      </w:pPr>
      <w:r>
        <w:rPr>
          <w:rFonts w:ascii="Times New Roman" w:eastAsia="Times New Roman" w:hAnsi="Times New Roman" w:cs="Times New Roman"/>
          <w:color w:val="000000"/>
          <w:bdr w:val="nil"/>
          <w:lang w:val="fr-FR"/>
        </w:rPr>
        <w:t>INSPECTION</w:t>
      </w:r>
    </w:p>
    <w:p w14:paraId="1B19D319" w14:textId="77777777" w:rsidR="006B1422" w:rsidRPr="00461A72" w:rsidRDefault="00637065" w:rsidP="00510248">
      <w:pPr>
        <w:pStyle w:val="Heading2"/>
        <w:keepNext w:val="0"/>
        <w:keepLines w:val="0"/>
        <w:numPr>
          <w:ilvl w:val="1"/>
          <w:numId w:val="29"/>
        </w:numPr>
        <w:ind w:left="1080" w:hanging="360"/>
        <w:jc w:val="both"/>
        <w:rPr>
          <w:rFonts w:cs="Times New Roman"/>
          <w:szCs w:val="24"/>
        </w:rPr>
      </w:pPr>
      <w:r>
        <w:rPr>
          <w:rFonts w:ascii="Cambria" w:eastAsia="Cambria" w:hAnsi="Cambria" w:cs="Cambria"/>
          <w:color w:val="000000"/>
          <w:szCs w:val="24"/>
          <w:bdr w:val="nil"/>
          <w:lang w:val="fr-FR"/>
        </w:rPr>
        <w:t xml:space="preserve">Examiner les zones et les conditions dans lesquelles le travail de cette section sera effectué. Corriger les conditions préjudiciables à l'achèvement correct et opportun des travaux. Ne pas poursuivre tant que des </w:t>
      </w:r>
      <w:r>
        <w:rPr>
          <w:rFonts w:ascii="Cambria" w:eastAsia="Cambria" w:hAnsi="Cambria" w:cs="Cambria"/>
          <w:color w:val="000000"/>
          <w:szCs w:val="24"/>
          <w:bdr w:val="nil"/>
          <w:lang w:val="fr-FR"/>
        </w:rPr>
        <w:t>conditions insatisfaisantes n'ont pas été corrigées.</w:t>
      </w:r>
    </w:p>
    <w:p w14:paraId="17B19381" w14:textId="77777777" w:rsidR="000031BF" w:rsidRPr="00174DED" w:rsidRDefault="000031BF" w:rsidP="000031BF">
      <w:pPr>
        <w:rPr>
          <w:highlight w:val="yellow"/>
        </w:rPr>
      </w:pPr>
    </w:p>
    <w:p w14:paraId="77C6C488" w14:textId="1EB8963E" w:rsidR="00C545F8" w:rsidRPr="00C545F8" w:rsidRDefault="00637065" w:rsidP="00510248">
      <w:pPr>
        <w:pStyle w:val="Heading1"/>
        <w:keepNext w:val="0"/>
        <w:keepLines w:val="0"/>
        <w:numPr>
          <w:ilvl w:val="0"/>
          <w:numId w:val="23"/>
        </w:numPr>
        <w:rPr>
          <w:lang w:val="fr-FR"/>
        </w:rPr>
      </w:pPr>
      <w:r>
        <w:rPr>
          <w:rFonts w:ascii="Cambria" w:eastAsia="Cambria" w:hAnsi="Cambria" w:cs="Cambria"/>
          <w:color w:val="000000"/>
          <w:bdr w:val="nil"/>
          <w:lang w:val="fr-FR"/>
        </w:rPr>
        <w:t xml:space="preserve">ACTIVITÉS </w:t>
      </w:r>
      <w:r>
        <w:rPr>
          <w:rFonts w:ascii="Times New Roman" w:eastAsia="Times New Roman" w:hAnsi="Times New Roman" w:cs="Times New Roman"/>
          <w:color w:val="000000"/>
          <w:bdr w:val="nil"/>
          <w:lang w:val="fr-FR"/>
        </w:rPr>
        <w:t>D'ACHÈVEMENT</w:t>
      </w:r>
    </w:p>
    <w:p w14:paraId="2256877D" w14:textId="2215B1F4" w:rsidR="008C02F0" w:rsidRPr="00510248" w:rsidRDefault="00637065" w:rsidP="00510248">
      <w:pPr>
        <w:pStyle w:val="Heading2"/>
        <w:keepNext w:val="0"/>
        <w:keepLines w:val="0"/>
        <w:numPr>
          <w:ilvl w:val="1"/>
          <w:numId w:val="31"/>
        </w:numPr>
        <w:ind w:left="1080" w:hanging="360"/>
        <w:jc w:val="both"/>
        <w:rPr>
          <w:szCs w:val="24"/>
        </w:rPr>
      </w:pPr>
      <w:r>
        <w:rPr>
          <w:rFonts w:ascii="Cambria" w:eastAsia="Cambria" w:hAnsi="Cambria" w:cs="Cambria"/>
          <w:color w:val="000000"/>
          <w:szCs w:val="24"/>
          <w:bdr w:val="nil"/>
          <w:lang w:val="fr-FR"/>
        </w:rPr>
        <w:t xml:space="preserve">Tout dommage sur la surface finie doit être réparé et recompacté avant la délivrance du Certificat d'achèvement substantiel. </w:t>
      </w:r>
    </w:p>
    <w:p w14:paraId="6C95C974" w14:textId="77777777" w:rsidR="00C545F8" w:rsidRPr="00510248" w:rsidRDefault="00C545F8" w:rsidP="00C545F8">
      <w:pPr>
        <w:pStyle w:val="ListParagraph"/>
      </w:pPr>
    </w:p>
    <w:p w14:paraId="5C209D1F" w14:textId="49EBF3B6" w:rsidR="00C545F8" w:rsidRPr="00C545F8" w:rsidRDefault="00637065" w:rsidP="00510248">
      <w:pPr>
        <w:pStyle w:val="Heading1"/>
        <w:keepNext w:val="0"/>
        <w:keepLines w:val="0"/>
        <w:numPr>
          <w:ilvl w:val="0"/>
          <w:numId w:val="23"/>
        </w:numPr>
        <w:rPr>
          <w:rFonts w:ascii="Cambria" w:eastAsia="Times New Roman" w:hAnsi="Cambria" w:cs="Times New Roman"/>
          <w:color w:val="000000"/>
        </w:rPr>
      </w:pPr>
      <w:r>
        <w:rPr>
          <w:rFonts w:ascii="Times New Roman" w:eastAsia="Times New Roman" w:hAnsi="Times New Roman" w:cs="Times New Roman"/>
          <w:color w:val="000000"/>
          <w:bdr w:val="nil"/>
          <w:lang w:val="fr-FR"/>
        </w:rPr>
        <w:t>NETTOYAGE</w:t>
      </w:r>
      <w:r>
        <w:rPr>
          <w:rFonts w:ascii="Cambria" w:eastAsia="Cambria" w:hAnsi="Cambria" w:cs="Cambria"/>
          <w:color w:val="000000"/>
          <w:bdr w:val="nil"/>
          <w:lang w:val="fr-FR"/>
        </w:rPr>
        <w:t xml:space="preserve"> </w:t>
      </w:r>
    </w:p>
    <w:p w14:paraId="0500EEFD" w14:textId="2D4A5089" w:rsidR="004D0F1D" w:rsidRDefault="00637065" w:rsidP="00510248">
      <w:pPr>
        <w:pStyle w:val="Heading2"/>
        <w:keepNext w:val="0"/>
        <w:keepLines w:val="0"/>
        <w:numPr>
          <w:ilvl w:val="1"/>
          <w:numId w:val="9"/>
        </w:numPr>
        <w:ind w:left="1080" w:hanging="360"/>
        <w:rPr>
          <w:rFonts w:ascii="Times New Roman" w:hAnsi="Times New Roman" w:cs="Times New Roman"/>
        </w:rPr>
      </w:pPr>
      <w:r>
        <w:rPr>
          <w:rFonts w:ascii="Times New Roman" w:eastAsia="Times New Roman" w:hAnsi="Times New Roman" w:cs="Times New Roman"/>
          <w:color w:val="000000"/>
          <w:szCs w:val="24"/>
          <w:bdr w:val="nil"/>
          <w:lang w:val="fr-FR"/>
        </w:rPr>
        <w:t xml:space="preserve">Tous les matériaux et équipements non utilisés doivent être retirés du site à </w:t>
      </w:r>
      <w:r>
        <w:rPr>
          <w:rFonts w:ascii="Times New Roman" w:eastAsia="Times New Roman" w:hAnsi="Times New Roman" w:cs="Times New Roman"/>
          <w:color w:val="000000"/>
          <w:szCs w:val="24"/>
          <w:bdr w:val="nil"/>
          <w:lang w:val="fr-FR"/>
        </w:rPr>
        <w:t xml:space="preserve">la fin des travaux. </w:t>
      </w:r>
    </w:p>
    <w:p w14:paraId="17004FF8" w14:textId="07380EA1" w:rsidR="00F502B8" w:rsidRPr="00F502B8" w:rsidRDefault="00637065" w:rsidP="00F502B8">
      <w:pPr>
        <w:pStyle w:val="Heading2"/>
        <w:keepNext w:val="0"/>
        <w:keepLines w:val="0"/>
        <w:numPr>
          <w:ilvl w:val="1"/>
          <w:numId w:val="9"/>
        </w:numPr>
        <w:ind w:left="1080" w:hanging="360"/>
      </w:pPr>
      <w:r>
        <w:rPr>
          <w:rFonts w:ascii="Cambria" w:eastAsia="Cambria" w:hAnsi="Cambria" w:cs="Cambria"/>
          <w:color w:val="000000"/>
          <w:szCs w:val="24"/>
          <w:bdr w:val="nil"/>
          <w:lang w:val="fr-FR"/>
        </w:rPr>
        <w:t>Tous les matériaux d'excavation en excès doivent être retirés du site et éliminés hors site dans des installations légales et approuvées.</w:t>
      </w:r>
    </w:p>
    <w:p w14:paraId="0FDD144A" w14:textId="77777777" w:rsidR="004D0F1D" w:rsidRPr="00C2353C" w:rsidRDefault="004D0F1D" w:rsidP="004D0F1D">
      <w:pPr>
        <w:pStyle w:val="ListParagraph"/>
        <w:rPr>
          <w:rFonts w:ascii="Times New Roman" w:hAnsi="Times New Roman" w:cs="Times New Roman"/>
          <w:sz w:val="24"/>
          <w:szCs w:val="24"/>
        </w:rPr>
      </w:pPr>
    </w:p>
    <w:p w14:paraId="3693FABC" w14:textId="62A5FC86" w:rsidR="007E5FDA" w:rsidRPr="00C2353C" w:rsidRDefault="00637065" w:rsidP="00722AE6">
      <w:pPr>
        <w:jc w:val="center"/>
        <w:rPr>
          <w:rFonts w:ascii="Times New Roman" w:hAnsi="Times New Roman" w:cs="Times New Roman"/>
          <w:sz w:val="24"/>
          <w:szCs w:val="24"/>
        </w:rPr>
      </w:pPr>
      <w:r>
        <w:rPr>
          <w:rFonts w:ascii="Times New Roman" w:eastAsia="Times New Roman" w:hAnsi="Times New Roman" w:cs="Times New Roman"/>
          <w:sz w:val="24"/>
          <w:szCs w:val="24"/>
          <w:bdr w:val="nil"/>
          <w:lang w:val="fr-FR"/>
        </w:rPr>
        <w:t>FIN DE SECTION</w:t>
      </w:r>
    </w:p>
    <w:sectPr w:rsidR="007E5FDA" w:rsidRPr="00C2353C" w:rsidSect="007E5FDA">
      <w:footerReference w:type="default" r:id="rId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CB9FF" w14:textId="77777777" w:rsidR="00000000" w:rsidRDefault="00637065">
      <w:pPr>
        <w:spacing w:after="0" w:line="240" w:lineRule="auto"/>
      </w:pPr>
      <w:r>
        <w:separator/>
      </w:r>
    </w:p>
  </w:endnote>
  <w:endnote w:type="continuationSeparator" w:id="0">
    <w:p w14:paraId="6313CD07" w14:textId="77777777" w:rsidR="00000000" w:rsidRDefault="0063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5D83593E" w:rsidR="00510AFF" w:rsidRPr="00EC1322" w:rsidRDefault="00637065">
    <w:pPr>
      <w:pStyle w:val="Footer"/>
      <w:rPr>
        <w:rFonts w:ascii="Times New Roman" w:hAnsi="Times New Roman" w:cs="Times New Roman"/>
        <w:b/>
        <w:i/>
      </w:rPr>
    </w:pPr>
    <w:bookmarkStart w:id="13" w:name="_Hlk5187726"/>
    <w:bookmarkStart w:id="14" w:name="_Hlk5187727"/>
    <w:bookmarkStart w:id="15" w:name="_Hlk5187728"/>
    <w:bookmarkStart w:id="16" w:name="_Hlk5187729"/>
    <w:bookmarkStart w:id="17" w:name="_Hlk5187730"/>
    <w:bookmarkStart w:id="18" w:name="_Hlk5187731"/>
    <w:bookmarkStart w:id="19" w:name="_Hlk5187732"/>
    <w:bookmarkStart w:id="20" w:name="_Hlk5187733"/>
    <w:bookmarkStart w:id="21" w:name="_Hlk5187734"/>
    <w:r>
      <w:rPr>
        <w:rFonts w:ascii="Times New Roman" w:eastAsia="Times New Roman" w:hAnsi="Times New Roman" w:cs="Times New Roman"/>
        <w:b/>
        <w:bCs/>
        <w:i/>
        <w:iCs/>
        <w:bdr w:val="nil"/>
        <w:lang w:val="fr-FR"/>
      </w:rPr>
      <w:t>USAID WATER/SANITATION</w:t>
    </w:r>
    <w:r>
      <w:rPr>
        <w:rFonts w:ascii="Times New Roman" w:eastAsia="Times New Roman" w:hAnsi="Times New Roman" w:cs="Times New Roman"/>
        <w:b/>
        <w:bCs/>
        <w:i/>
        <w:iCs/>
        <w:bdr w:val="nil"/>
        <w:lang w:val="fr-FR"/>
      </w:rPr>
      <w:tab/>
    </w:r>
    <w:r>
      <w:rPr>
        <w:rFonts w:ascii="Times New Roman" w:eastAsia="Times New Roman" w:hAnsi="Times New Roman" w:cs="Times New Roman"/>
        <w:b/>
        <w:bCs/>
        <w:i/>
        <w:iCs/>
        <w:bdr w:val="nil"/>
        <w:lang w:val="fr-FR"/>
      </w:rPr>
      <w:t xml:space="preserve"> 32 23 00</w:t>
    </w:r>
    <w:r>
      <w:ptab w:relativeTo="margin" w:alignment="right" w:leader="none"/>
    </w:r>
    <w:r>
      <w:rPr>
        <w:rFonts w:ascii="Times New Roman" w:eastAsia="Times New Roman" w:hAnsi="Times New Roman" w:cs="Times New Roman"/>
        <w:b/>
        <w:bCs/>
        <w:i/>
        <w:iCs/>
        <w:bdr w:val="nil"/>
        <w:lang w:val="fr-FR"/>
      </w:rPr>
      <w:t>Spécifications techniques</w:t>
    </w:r>
    <w:bookmarkEnd w:id="13"/>
    <w:bookmarkEnd w:id="14"/>
    <w:bookmarkEnd w:id="15"/>
    <w:bookmarkEnd w:id="16"/>
    <w:bookmarkEnd w:id="17"/>
    <w:bookmarkEnd w:id="18"/>
    <w:bookmarkEnd w:id="19"/>
    <w:bookmarkEnd w:id="20"/>
    <w:bookmarkEnd w:id="2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9DFD4" w14:textId="77777777" w:rsidR="00000000" w:rsidRDefault="00637065">
      <w:pPr>
        <w:spacing w:after="0" w:line="240" w:lineRule="auto"/>
      </w:pPr>
      <w:r>
        <w:separator/>
      </w:r>
    </w:p>
  </w:footnote>
  <w:footnote w:type="continuationSeparator" w:id="0">
    <w:p w14:paraId="650FF26D" w14:textId="77777777" w:rsidR="00000000" w:rsidRDefault="00637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46F7"/>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 w15:restartNumberingAfterBreak="0">
    <w:nsid w:val="0710331C"/>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 w15:restartNumberingAfterBreak="0">
    <w:nsid w:val="07F97BE6"/>
    <w:multiLevelType w:val="hybridMultilevel"/>
    <w:tmpl w:val="74E26248"/>
    <w:lvl w:ilvl="0" w:tplc="9488A904">
      <w:start w:val="1"/>
      <w:numFmt w:val="decimal"/>
      <w:lvlText w:val="%1-"/>
      <w:lvlJc w:val="left"/>
      <w:pPr>
        <w:ind w:left="720" w:hanging="360"/>
      </w:pPr>
      <w:rPr>
        <w:rFonts w:ascii="Times New Roman" w:hAnsi="Times New Roman" w:hint="default"/>
        <w:color w:val="auto"/>
      </w:rPr>
    </w:lvl>
    <w:lvl w:ilvl="1" w:tplc="85DAA056" w:tentative="1">
      <w:start w:val="1"/>
      <w:numFmt w:val="lowerLetter"/>
      <w:lvlText w:val="%2."/>
      <w:lvlJc w:val="left"/>
      <w:pPr>
        <w:ind w:left="1440" w:hanging="360"/>
      </w:pPr>
    </w:lvl>
    <w:lvl w:ilvl="2" w:tplc="9D7871A8" w:tentative="1">
      <w:start w:val="1"/>
      <w:numFmt w:val="lowerRoman"/>
      <w:lvlText w:val="%3."/>
      <w:lvlJc w:val="right"/>
      <w:pPr>
        <w:ind w:left="2160" w:hanging="180"/>
      </w:pPr>
    </w:lvl>
    <w:lvl w:ilvl="3" w:tplc="A1A6D64A" w:tentative="1">
      <w:start w:val="1"/>
      <w:numFmt w:val="decimal"/>
      <w:lvlText w:val="%4."/>
      <w:lvlJc w:val="left"/>
      <w:pPr>
        <w:ind w:left="2880" w:hanging="360"/>
      </w:pPr>
    </w:lvl>
    <w:lvl w:ilvl="4" w:tplc="61488444" w:tentative="1">
      <w:start w:val="1"/>
      <w:numFmt w:val="lowerLetter"/>
      <w:lvlText w:val="%5."/>
      <w:lvlJc w:val="left"/>
      <w:pPr>
        <w:ind w:left="3600" w:hanging="360"/>
      </w:pPr>
    </w:lvl>
    <w:lvl w:ilvl="5" w:tplc="97EEEEAC" w:tentative="1">
      <w:start w:val="1"/>
      <w:numFmt w:val="lowerRoman"/>
      <w:lvlText w:val="%6."/>
      <w:lvlJc w:val="right"/>
      <w:pPr>
        <w:ind w:left="4320" w:hanging="180"/>
      </w:pPr>
    </w:lvl>
    <w:lvl w:ilvl="6" w:tplc="046622D2" w:tentative="1">
      <w:start w:val="1"/>
      <w:numFmt w:val="decimal"/>
      <w:lvlText w:val="%7."/>
      <w:lvlJc w:val="left"/>
      <w:pPr>
        <w:ind w:left="5040" w:hanging="360"/>
      </w:pPr>
    </w:lvl>
    <w:lvl w:ilvl="7" w:tplc="506CD102" w:tentative="1">
      <w:start w:val="1"/>
      <w:numFmt w:val="lowerLetter"/>
      <w:lvlText w:val="%8."/>
      <w:lvlJc w:val="left"/>
      <w:pPr>
        <w:ind w:left="5760" w:hanging="360"/>
      </w:pPr>
    </w:lvl>
    <w:lvl w:ilvl="8" w:tplc="C35878E8" w:tentative="1">
      <w:start w:val="1"/>
      <w:numFmt w:val="lowerRoman"/>
      <w:lvlText w:val="%9."/>
      <w:lvlJc w:val="right"/>
      <w:pPr>
        <w:ind w:left="6480" w:hanging="180"/>
      </w:pPr>
    </w:lvl>
  </w:abstractNum>
  <w:abstractNum w:abstractNumId="3" w15:restartNumberingAfterBreak="0">
    <w:nsid w:val="08234F42"/>
    <w:multiLevelType w:val="multilevel"/>
    <w:tmpl w:val="955EC260"/>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4" w15:restartNumberingAfterBreak="0">
    <w:nsid w:val="0CE56019"/>
    <w:multiLevelType w:val="multilevel"/>
    <w:tmpl w:val="FA4E2E04"/>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12CE1263"/>
    <w:multiLevelType w:val="hybridMultilevel"/>
    <w:tmpl w:val="7E1C7CC2"/>
    <w:lvl w:ilvl="0" w:tplc="42B46C54">
      <w:start w:val="1"/>
      <w:numFmt w:val="decimal"/>
      <w:lvlText w:val="%1."/>
      <w:lvlJc w:val="left"/>
      <w:pPr>
        <w:ind w:left="720" w:hanging="360"/>
      </w:pPr>
      <w:rPr>
        <w:rFonts w:asciiTheme="majorHAnsi" w:eastAsiaTheme="minorHAnsi" w:hAnsiTheme="majorHAnsi" w:cstheme="minorBidi"/>
      </w:rPr>
    </w:lvl>
    <w:lvl w:ilvl="1" w:tplc="4776EE0A" w:tentative="1">
      <w:start w:val="1"/>
      <w:numFmt w:val="lowerLetter"/>
      <w:lvlText w:val="%2."/>
      <w:lvlJc w:val="left"/>
      <w:pPr>
        <w:ind w:left="1440" w:hanging="360"/>
      </w:pPr>
    </w:lvl>
    <w:lvl w:ilvl="2" w:tplc="99D4F7F0" w:tentative="1">
      <w:start w:val="1"/>
      <w:numFmt w:val="lowerRoman"/>
      <w:lvlText w:val="%3."/>
      <w:lvlJc w:val="right"/>
      <w:pPr>
        <w:ind w:left="2160" w:hanging="180"/>
      </w:pPr>
    </w:lvl>
    <w:lvl w:ilvl="3" w:tplc="55B67BDE" w:tentative="1">
      <w:start w:val="1"/>
      <w:numFmt w:val="decimal"/>
      <w:lvlText w:val="%4."/>
      <w:lvlJc w:val="left"/>
      <w:pPr>
        <w:ind w:left="2880" w:hanging="360"/>
      </w:pPr>
    </w:lvl>
    <w:lvl w:ilvl="4" w:tplc="8A4CFDC8" w:tentative="1">
      <w:start w:val="1"/>
      <w:numFmt w:val="lowerLetter"/>
      <w:lvlText w:val="%5."/>
      <w:lvlJc w:val="left"/>
      <w:pPr>
        <w:ind w:left="3600" w:hanging="360"/>
      </w:pPr>
    </w:lvl>
    <w:lvl w:ilvl="5" w:tplc="834433A8" w:tentative="1">
      <w:start w:val="1"/>
      <w:numFmt w:val="lowerRoman"/>
      <w:lvlText w:val="%6."/>
      <w:lvlJc w:val="right"/>
      <w:pPr>
        <w:ind w:left="4320" w:hanging="180"/>
      </w:pPr>
    </w:lvl>
    <w:lvl w:ilvl="6" w:tplc="2BB65C92" w:tentative="1">
      <w:start w:val="1"/>
      <w:numFmt w:val="decimal"/>
      <w:lvlText w:val="%7."/>
      <w:lvlJc w:val="left"/>
      <w:pPr>
        <w:ind w:left="5040" w:hanging="360"/>
      </w:pPr>
    </w:lvl>
    <w:lvl w:ilvl="7" w:tplc="BDACF99A" w:tentative="1">
      <w:start w:val="1"/>
      <w:numFmt w:val="lowerLetter"/>
      <w:lvlText w:val="%8."/>
      <w:lvlJc w:val="left"/>
      <w:pPr>
        <w:ind w:left="5760" w:hanging="360"/>
      </w:pPr>
    </w:lvl>
    <w:lvl w:ilvl="8" w:tplc="53F2C070" w:tentative="1">
      <w:start w:val="1"/>
      <w:numFmt w:val="lowerRoman"/>
      <w:lvlText w:val="%9."/>
      <w:lvlJc w:val="right"/>
      <w:pPr>
        <w:ind w:left="6480" w:hanging="180"/>
      </w:pPr>
    </w:lvl>
  </w:abstractNum>
  <w:abstractNum w:abstractNumId="6" w15:restartNumberingAfterBreak="0">
    <w:nsid w:val="26745D83"/>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7" w15:restartNumberingAfterBreak="0">
    <w:nsid w:val="29BB26BB"/>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8" w15:restartNumberingAfterBreak="0">
    <w:nsid w:val="2A634AB8"/>
    <w:multiLevelType w:val="multilevel"/>
    <w:tmpl w:val="16343AA4"/>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3E2C6C5F"/>
    <w:multiLevelType w:val="multilevel"/>
    <w:tmpl w:val="8D6A8756"/>
    <w:lvl w:ilvl="0">
      <w:start w:val="1"/>
      <w:numFmt w:val="decimal"/>
      <w:lvlText w:val="3.%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0" w15:restartNumberingAfterBreak="0">
    <w:nsid w:val="449419FF"/>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1" w15:restartNumberingAfterBreak="0">
    <w:nsid w:val="4E6E11F3"/>
    <w:multiLevelType w:val="hybridMultilevel"/>
    <w:tmpl w:val="5C56EA3C"/>
    <w:lvl w:ilvl="0" w:tplc="DF764C82">
      <w:start w:val="1"/>
      <w:numFmt w:val="lowerLetter"/>
      <w:lvlText w:val="%1."/>
      <w:lvlJc w:val="left"/>
      <w:pPr>
        <w:ind w:left="2160" w:hanging="360"/>
      </w:pPr>
      <w:rPr>
        <w:rFonts w:hint="default"/>
      </w:rPr>
    </w:lvl>
    <w:lvl w:ilvl="1" w:tplc="94BA3D4A" w:tentative="1">
      <w:start w:val="1"/>
      <w:numFmt w:val="lowerLetter"/>
      <w:lvlText w:val="%2."/>
      <w:lvlJc w:val="left"/>
      <w:pPr>
        <w:ind w:left="2880" w:hanging="360"/>
      </w:pPr>
    </w:lvl>
    <w:lvl w:ilvl="2" w:tplc="9C643B12" w:tentative="1">
      <w:start w:val="1"/>
      <w:numFmt w:val="lowerRoman"/>
      <w:lvlText w:val="%3."/>
      <w:lvlJc w:val="right"/>
      <w:pPr>
        <w:ind w:left="3600" w:hanging="180"/>
      </w:pPr>
    </w:lvl>
    <w:lvl w:ilvl="3" w:tplc="6D92E164" w:tentative="1">
      <w:start w:val="1"/>
      <w:numFmt w:val="decimal"/>
      <w:lvlText w:val="%4."/>
      <w:lvlJc w:val="left"/>
      <w:pPr>
        <w:ind w:left="4320" w:hanging="360"/>
      </w:pPr>
    </w:lvl>
    <w:lvl w:ilvl="4" w:tplc="4694267A" w:tentative="1">
      <w:start w:val="1"/>
      <w:numFmt w:val="lowerLetter"/>
      <w:lvlText w:val="%5."/>
      <w:lvlJc w:val="left"/>
      <w:pPr>
        <w:ind w:left="5040" w:hanging="360"/>
      </w:pPr>
    </w:lvl>
    <w:lvl w:ilvl="5" w:tplc="7166D900" w:tentative="1">
      <w:start w:val="1"/>
      <w:numFmt w:val="lowerRoman"/>
      <w:lvlText w:val="%6."/>
      <w:lvlJc w:val="right"/>
      <w:pPr>
        <w:ind w:left="5760" w:hanging="180"/>
      </w:pPr>
    </w:lvl>
    <w:lvl w:ilvl="6" w:tplc="61465310" w:tentative="1">
      <w:start w:val="1"/>
      <w:numFmt w:val="decimal"/>
      <w:lvlText w:val="%7."/>
      <w:lvlJc w:val="left"/>
      <w:pPr>
        <w:ind w:left="6480" w:hanging="360"/>
      </w:pPr>
    </w:lvl>
    <w:lvl w:ilvl="7" w:tplc="FFC86A78" w:tentative="1">
      <w:start w:val="1"/>
      <w:numFmt w:val="lowerLetter"/>
      <w:lvlText w:val="%8."/>
      <w:lvlJc w:val="left"/>
      <w:pPr>
        <w:ind w:left="7200" w:hanging="360"/>
      </w:pPr>
    </w:lvl>
    <w:lvl w:ilvl="8" w:tplc="DFA68080" w:tentative="1">
      <w:start w:val="1"/>
      <w:numFmt w:val="lowerRoman"/>
      <w:lvlText w:val="%9."/>
      <w:lvlJc w:val="right"/>
      <w:pPr>
        <w:ind w:left="7920" w:hanging="180"/>
      </w:pPr>
    </w:lvl>
  </w:abstractNum>
  <w:abstractNum w:abstractNumId="12" w15:restartNumberingAfterBreak="0">
    <w:nsid w:val="558C2D75"/>
    <w:multiLevelType w:val="hybridMultilevel"/>
    <w:tmpl w:val="81E6BD6A"/>
    <w:lvl w:ilvl="0" w:tplc="ABCE7580">
      <w:start w:val="1"/>
      <w:numFmt w:val="upperLetter"/>
      <w:lvlText w:val="%1."/>
      <w:lvlJc w:val="left"/>
      <w:pPr>
        <w:ind w:left="720" w:hanging="360"/>
      </w:pPr>
      <w:rPr>
        <w:rFonts w:hint="default"/>
      </w:rPr>
    </w:lvl>
    <w:lvl w:ilvl="1" w:tplc="51C8E896" w:tentative="1">
      <w:start w:val="1"/>
      <w:numFmt w:val="lowerLetter"/>
      <w:lvlText w:val="%2."/>
      <w:lvlJc w:val="left"/>
      <w:pPr>
        <w:ind w:left="1440" w:hanging="360"/>
      </w:pPr>
    </w:lvl>
    <w:lvl w:ilvl="2" w:tplc="6DC4613E" w:tentative="1">
      <w:start w:val="1"/>
      <w:numFmt w:val="lowerRoman"/>
      <w:lvlText w:val="%3."/>
      <w:lvlJc w:val="right"/>
      <w:pPr>
        <w:ind w:left="2160" w:hanging="180"/>
      </w:pPr>
    </w:lvl>
    <w:lvl w:ilvl="3" w:tplc="1CB6E08C" w:tentative="1">
      <w:start w:val="1"/>
      <w:numFmt w:val="decimal"/>
      <w:lvlText w:val="%4."/>
      <w:lvlJc w:val="left"/>
      <w:pPr>
        <w:ind w:left="2880" w:hanging="360"/>
      </w:pPr>
    </w:lvl>
    <w:lvl w:ilvl="4" w:tplc="0E22A740" w:tentative="1">
      <w:start w:val="1"/>
      <w:numFmt w:val="lowerLetter"/>
      <w:lvlText w:val="%5."/>
      <w:lvlJc w:val="left"/>
      <w:pPr>
        <w:ind w:left="3600" w:hanging="360"/>
      </w:pPr>
    </w:lvl>
    <w:lvl w:ilvl="5" w:tplc="DF0EA228" w:tentative="1">
      <w:start w:val="1"/>
      <w:numFmt w:val="lowerRoman"/>
      <w:lvlText w:val="%6."/>
      <w:lvlJc w:val="right"/>
      <w:pPr>
        <w:ind w:left="4320" w:hanging="180"/>
      </w:pPr>
    </w:lvl>
    <w:lvl w:ilvl="6" w:tplc="820A6130" w:tentative="1">
      <w:start w:val="1"/>
      <w:numFmt w:val="decimal"/>
      <w:lvlText w:val="%7."/>
      <w:lvlJc w:val="left"/>
      <w:pPr>
        <w:ind w:left="5040" w:hanging="360"/>
      </w:pPr>
    </w:lvl>
    <w:lvl w:ilvl="7" w:tplc="EA2E6AD8" w:tentative="1">
      <w:start w:val="1"/>
      <w:numFmt w:val="lowerLetter"/>
      <w:lvlText w:val="%8."/>
      <w:lvlJc w:val="left"/>
      <w:pPr>
        <w:ind w:left="5760" w:hanging="360"/>
      </w:pPr>
    </w:lvl>
    <w:lvl w:ilvl="8" w:tplc="7D00D442" w:tentative="1">
      <w:start w:val="1"/>
      <w:numFmt w:val="lowerRoman"/>
      <w:lvlText w:val="%9."/>
      <w:lvlJc w:val="right"/>
      <w:pPr>
        <w:ind w:left="6480" w:hanging="180"/>
      </w:pPr>
    </w:lvl>
  </w:abstractNum>
  <w:abstractNum w:abstractNumId="13" w15:restartNumberingAfterBreak="0">
    <w:nsid w:val="5E0120C0"/>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4" w15:restartNumberingAfterBreak="0">
    <w:nsid w:val="6805654C"/>
    <w:multiLevelType w:val="hybridMultilevel"/>
    <w:tmpl w:val="D0FE6144"/>
    <w:lvl w:ilvl="0" w:tplc="ADE22558">
      <w:start w:val="1"/>
      <w:numFmt w:val="upperLetter"/>
      <w:lvlText w:val="%1-"/>
      <w:lvlJc w:val="left"/>
      <w:pPr>
        <w:ind w:left="720" w:hanging="360"/>
      </w:pPr>
      <w:rPr>
        <w:rFonts w:hint="default"/>
      </w:rPr>
    </w:lvl>
    <w:lvl w:ilvl="1" w:tplc="E4D69C66" w:tentative="1">
      <w:start w:val="1"/>
      <w:numFmt w:val="lowerLetter"/>
      <w:lvlText w:val="%2."/>
      <w:lvlJc w:val="left"/>
      <w:pPr>
        <w:ind w:left="1440" w:hanging="360"/>
      </w:pPr>
    </w:lvl>
    <w:lvl w:ilvl="2" w:tplc="7930948C" w:tentative="1">
      <w:start w:val="1"/>
      <w:numFmt w:val="lowerRoman"/>
      <w:lvlText w:val="%3."/>
      <w:lvlJc w:val="right"/>
      <w:pPr>
        <w:ind w:left="2160" w:hanging="180"/>
      </w:pPr>
    </w:lvl>
    <w:lvl w:ilvl="3" w:tplc="4A3E952C" w:tentative="1">
      <w:start w:val="1"/>
      <w:numFmt w:val="decimal"/>
      <w:lvlText w:val="%4."/>
      <w:lvlJc w:val="left"/>
      <w:pPr>
        <w:ind w:left="2880" w:hanging="360"/>
      </w:pPr>
    </w:lvl>
    <w:lvl w:ilvl="4" w:tplc="4FD04466" w:tentative="1">
      <w:start w:val="1"/>
      <w:numFmt w:val="lowerLetter"/>
      <w:lvlText w:val="%5."/>
      <w:lvlJc w:val="left"/>
      <w:pPr>
        <w:ind w:left="3600" w:hanging="360"/>
      </w:pPr>
    </w:lvl>
    <w:lvl w:ilvl="5" w:tplc="58D2F7A4" w:tentative="1">
      <w:start w:val="1"/>
      <w:numFmt w:val="lowerRoman"/>
      <w:lvlText w:val="%6."/>
      <w:lvlJc w:val="right"/>
      <w:pPr>
        <w:ind w:left="4320" w:hanging="180"/>
      </w:pPr>
    </w:lvl>
    <w:lvl w:ilvl="6" w:tplc="D248B4F4" w:tentative="1">
      <w:start w:val="1"/>
      <w:numFmt w:val="decimal"/>
      <w:lvlText w:val="%7."/>
      <w:lvlJc w:val="left"/>
      <w:pPr>
        <w:ind w:left="5040" w:hanging="360"/>
      </w:pPr>
    </w:lvl>
    <w:lvl w:ilvl="7" w:tplc="6FE631AE" w:tentative="1">
      <w:start w:val="1"/>
      <w:numFmt w:val="lowerLetter"/>
      <w:lvlText w:val="%8."/>
      <w:lvlJc w:val="left"/>
      <w:pPr>
        <w:ind w:left="5760" w:hanging="360"/>
      </w:pPr>
    </w:lvl>
    <w:lvl w:ilvl="8" w:tplc="6C92B700" w:tentative="1">
      <w:start w:val="1"/>
      <w:numFmt w:val="lowerRoman"/>
      <w:lvlText w:val="%9."/>
      <w:lvlJc w:val="right"/>
      <w:pPr>
        <w:ind w:left="6480" w:hanging="180"/>
      </w:pPr>
    </w:lvl>
  </w:abstractNum>
  <w:abstractNum w:abstractNumId="15" w15:restartNumberingAfterBreak="0">
    <w:nsid w:val="71790FB4"/>
    <w:multiLevelType w:val="multilevel"/>
    <w:tmpl w:val="AE928B4E"/>
    <w:lvl w:ilvl="0">
      <w:start w:val="1"/>
      <w:numFmt w:val="decimal"/>
      <w:lvlText w:val="2.%1"/>
      <w:lvlJc w:val="left"/>
      <w:pPr>
        <w:ind w:left="360" w:hanging="360"/>
      </w:pPr>
      <w:rPr>
        <w:rFonts w:hint="default"/>
      </w:rPr>
    </w:lvl>
    <w:lvl w:ilvl="1">
      <w:start w:val="1"/>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3"/>
  </w:num>
  <w:num w:numId="2">
    <w:abstractNumId w:val="1"/>
  </w:num>
  <w:num w:numId="3">
    <w:abstractNumId w:val="8"/>
  </w:num>
  <w:num w:numId="4">
    <w:abstractNumId w:val="1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1"/>
  </w:num>
  <w:num w:numId="11">
    <w:abstractNumId w:val="14"/>
  </w:num>
  <w:num w:numId="12">
    <w:abstractNumId w:val="2"/>
  </w:num>
  <w:num w:numId="13">
    <w:abstractNumId w:val="12"/>
  </w:num>
  <w:num w:numId="14">
    <w:abstractNumId w:val="5"/>
  </w:num>
  <w:num w:numId="15">
    <w:abstractNumId w:val="15"/>
  </w:num>
  <w:num w:numId="16">
    <w:abstractNumId w:val="15"/>
  </w:num>
  <w:num w:numId="17">
    <w:abstractNumId w:val="7"/>
  </w:num>
  <w:num w:numId="18">
    <w:abstractNumId w:val="15"/>
  </w:num>
  <w:num w:numId="19">
    <w:abstractNumId w:val="15"/>
  </w:num>
  <w:num w:numId="20">
    <w:abstractNumId w:val="15"/>
  </w:num>
  <w:num w:numId="21">
    <w:abstractNumId w:val="1"/>
  </w:num>
  <w:num w:numId="22">
    <w:abstractNumId w:val="10"/>
  </w:num>
  <w:num w:numId="23">
    <w:abstractNumId w:val="9"/>
  </w:num>
  <w:num w:numId="24">
    <w:abstractNumId w:val="15"/>
  </w:num>
  <w:num w:numId="25">
    <w:abstractNumId w:val="0"/>
  </w:num>
  <w:num w:numId="26">
    <w:abstractNumId w:val="15"/>
  </w:num>
  <w:num w:numId="27">
    <w:abstractNumId w:val="13"/>
  </w:num>
  <w:num w:numId="28">
    <w:abstractNumId w:val="1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5FB"/>
    <w:rsid w:val="000031BF"/>
    <w:rsid w:val="000051E2"/>
    <w:rsid w:val="00005DB4"/>
    <w:rsid w:val="000068A7"/>
    <w:rsid w:val="00013E07"/>
    <w:rsid w:val="00026A25"/>
    <w:rsid w:val="00042123"/>
    <w:rsid w:val="0004347E"/>
    <w:rsid w:val="00055500"/>
    <w:rsid w:val="0007140A"/>
    <w:rsid w:val="000B2137"/>
    <w:rsid w:val="000D4B0A"/>
    <w:rsid w:val="000D6810"/>
    <w:rsid w:val="000F18DC"/>
    <w:rsid w:val="000F5475"/>
    <w:rsid w:val="0011793F"/>
    <w:rsid w:val="00125369"/>
    <w:rsid w:val="00131365"/>
    <w:rsid w:val="001327CF"/>
    <w:rsid w:val="001417EB"/>
    <w:rsid w:val="001420E3"/>
    <w:rsid w:val="001544B0"/>
    <w:rsid w:val="00154872"/>
    <w:rsid w:val="00162D14"/>
    <w:rsid w:val="0016337A"/>
    <w:rsid w:val="00174DED"/>
    <w:rsid w:val="00181428"/>
    <w:rsid w:val="0018332A"/>
    <w:rsid w:val="00197D81"/>
    <w:rsid w:val="001B0D58"/>
    <w:rsid w:val="001C5B5F"/>
    <w:rsid w:val="001D572F"/>
    <w:rsid w:val="001E65FB"/>
    <w:rsid w:val="001F6F9D"/>
    <w:rsid w:val="00215F21"/>
    <w:rsid w:val="0023121E"/>
    <w:rsid w:val="00233F17"/>
    <w:rsid w:val="002459B5"/>
    <w:rsid w:val="00254C7A"/>
    <w:rsid w:val="002874A4"/>
    <w:rsid w:val="002A5F98"/>
    <w:rsid w:val="002C1597"/>
    <w:rsid w:val="002D701A"/>
    <w:rsid w:val="002F0472"/>
    <w:rsid w:val="00307D7D"/>
    <w:rsid w:val="0032517A"/>
    <w:rsid w:val="00327A0B"/>
    <w:rsid w:val="003358FC"/>
    <w:rsid w:val="00337444"/>
    <w:rsid w:val="003402CC"/>
    <w:rsid w:val="00350B0F"/>
    <w:rsid w:val="0035131F"/>
    <w:rsid w:val="00382000"/>
    <w:rsid w:val="003867CB"/>
    <w:rsid w:val="00396859"/>
    <w:rsid w:val="003B0A49"/>
    <w:rsid w:val="003B3776"/>
    <w:rsid w:val="003C514A"/>
    <w:rsid w:val="003D0891"/>
    <w:rsid w:val="003D49AC"/>
    <w:rsid w:val="003E6A32"/>
    <w:rsid w:val="003F1994"/>
    <w:rsid w:val="003F20B8"/>
    <w:rsid w:val="003F34BA"/>
    <w:rsid w:val="003F6495"/>
    <w:rsid w:val="003F772C"/>
    <w:rsid w:val="00405593"/>
    <w:rsid w:val="00413923"/>
    <w:rsid w:val="0042310C"/>
    <w:rsid w:val="00424F12"/>
    <w:rsid w:val="00437ED9"/>
    <w:rsid w:val="00440F7F"/>
    <w:rsid w:val="00441E5D"/>
    <w:rsid w:val="00461A72"/>
    <w:rsid w:val="00467421"/>
    <w:rsid w:val="00470FA9"/>
    <w:rsid w:val="00484096"/>
    <w:rsid w:val="00490815"/>
    <w:rsid w:val="0049318B"/>
    <w:rsid w:val="004938D7"/>
    <w:rsid w:val="00496264"/>
    <w:rsid w:val="00496FDA"/>
    <w:rsid w:val="004A60CF"/>
    <w:rsid w:val="004A638F"/>
    <w:rsid w:val="004B2C00"/>
    <w:rsid w:val="004C3B3F"/>
    <w:rsid w:val="004C65DC"/>
    <w:rsid w:val="004D097D"/>
    <w:rsid w:val="004D0F1D"/>
    <w:rsid w:val="004D51C5"/>
    <w:rsid w:val="004E39E2"/>
    <w:rsid w:val="0050121C"/>
    <w:rsid w:val="005016B0"/>
    <w:rsid w:val="00510248"/>
    <w:rsid w:val="00510AFF"/>
    <w:rsid w:val="005114F0"/>
    <w:rsid w:val="00512554"/>
    <w:rsid w:val="005162F0"/>
    <w:rsid w:val="00541E46"/>
    <w:rsid w:val="00543381"/>
    <w:rsid w:val="0056488B"/>
    <w:rsid w:val="0057645B"/>
    <w:rsid w:val="005772BF"/>
    <w:rsid w:val="00581C25"/>
    <w:rsid w:val="00584A3A"/>
    <w:rsid w:val="005921DD"/>
    <w:rsid w:val="0059260F"/>
    <w:rsid w:val="005A6452"/>
    <w:rsid w:val="005A650A"/>
    <w:rsid w:val="005A7778"/>
    <w:rsid w:val="005C515A"/>
    <w:rsid w:val="005D29E4"/>
    <w:rsid w:val="005D5147"/>
    <w:rsid w:val="005F4283"/>
    <w:rsid w:val="006033C2"/>
    <w:rsid w:val="00607ED8"/>
    <w:rsid w:val="00636BC9"/>
    <w:rsid w:val="00637065"/>
    <w:rsid w:val="006415BF"/>
    <w:rsid w:val="00646140"/>
    <w:rsid w:val="0065461E"/>
    <w:rsid w:val="00660915"/>
    <w:rsid w:val="00660FFF"/>
    <w:rsid w:val="006710FB"/>
    <w:rsid w:val="00683F71"/>
    <w:rsid w:val="006A29B7"/>
    <w:rsid w:val="006A3E28"/>
    <w:rsid w:val="006B1422"/>
    <w:rsid w:val="006B69BF"/>
    <w:rsid w:val="006E2E46"/>
    <w:rsid w:val="006F01E5"/>
    <w:rsid w:val="007003D1"/>
    <w:rsid w:val="00705124"/>
    <w:rsid w:val="007075E6"/>
    <w:rsid w:val="007171DF"/>
    <w:rsid w:val="00722AE6"/>
    <w:rsid w:val="007231D2"/>
    <w:rsid w:val="00723652"/>
    <w:rsid w:val="00740BA7"/>
    <w:rsid w:val="00751552"/>
    <w:rsid w:val="00751E4F"/>
    <w:rsid w:val="00766833"/>
    <w:rsid w:val="00776F7C"/>
    <w:rsid w:val="00785015"/>
    <w:rsid w:val="00792605"/>
    <w:rsid w:val="007A2B17"/>
    <w:rsid w:val="007A50BC"/>
    <w:rsid w:val="007C4B37"/>
    <w:rsid w:val="007E39C2"/>
    <w:rsid w:val="007E5FDA"/>
    <w:rsid w:val="007E75E3"/>
    <w:rsid w:val="007F7271"/>
    <w:rsid w:val="00832136"/>
    <w:rsid w:val="008400AC"/>
    <w:rsid w:val="00842883"/>
    <w:rsid w:val="008472B7"/>
    <w:rsid w:val="0085231F"/>
    <w:rsid w:val="008577B9"/>
    <w:rsid w:val="00864D4A"/>
    <w:rsid w:val="00871046"/>
    <w:rsid w:val="00876EC9"/>
    <w:rsid w:val="00887509"/>
    <w:rsid w:val="008943F6"/>
    <w:rsid w:val="008B4657"/>
    <w:rsid w:val="008C02F0"/>
    <w:rsid w:val="008D22C1"/>
    <w:rsid w:val="008D4859"/>
    <w:rsid w:val="008E2453"/>
    <w:rsid w:val="008E2D51"/>
    <w:rsid w:val="008F062F"/>
    <w:rsid w:val="00906902"/>
    <w:rsid w:val="00907D76"/>
    <w:rsid w:val="00916111"/>
    <w:rsid w:val="0091741F"/>
    <w:rsid w:val="00921846"/>
    <w:rsid w:val="00931052"/>
    <w:rsid w:val="00937033"/>
    <w:rsid w:val="00937B6D"/>
    <w:rsid w:val="00941067"/>
    <w:rsid w:val="00944837"/>
    <w:rsid w:val="0095578C"/>
    <w:rsid w:val="00976BE7"/>
    <w:rsid w:val="00981C98"/>
    <w:rsid w:val="0099180A"/>
    <w:rsid w:val="009B6D4A"/>
    <w:rsid w:val="009C224E"/>
    <w:rsid w:val="009D0731"/>
    <w:rsid w:val="009E1192"/>
    <w:rsid w:val="009E526E"/>
    <w:rsid w:val="009E557C"/>
    <w:rsid w:val="009F6210"/>
    <w:rsid w:val="00A3415D"/>
    <w:rsid w:val="00A4453B"/>
    <w:rsid w:val="00A6427D"/>
    <w:rsid w:val="00A64297"/>
    <w:rsid w:val="00A67D22"/>
    <w:rsid w:val="00A93852"/>
    <w:rsid w:val="00A968B5"/>
    <w:rsid w:val="00A9779D"/>
    <w:rsid w:val="00AA0A0D"/>
    <w:rsid w:val="00AB19B3"/>
    <w:rsid w:val="00B10516"/>
    <w:rsid w:val="00B14F27"/>
    <w:rsid w:val="00B2261E"/>
    <w:rsid w:val="00B51D7E"/>
    <w:rsid w:val="00B621BE"/>
    <w:rsid w:val="00B67870"/>
    <w:rsid w:val="00B7628F"/>
    <w:rsid w:val="00B76D0C"/>
    <w:rsid w:val="00B77D0A"/>
    <w:rsid w:val="00B83205"/>
    <w:rsid w:val="00B85558"/>
    <w:rsid w:val="00B943E4"/>
    <w:rsid w:val="00B94504"/>
    <w:rsid w:val="00B95467"/>
    <w:rsid w:val="00BA09AD"/>
    <w:rsid w:val="00BB65D8"/>
    <w:rsid w:val="00BD57D9"/>
    <w:rsid w:val="00BD698C"/>
    <w:rsid w:val="00C1375F"/>
    <w:rsid w:val="00C226E0"/>
    <w:rsid w:val="00C2353C"/>
    <w:rsid w:val="00C24D22"/>
    <w:rsid w:val="00C30528"/>
    <w:rsid w:val="00C545F8"/>
    <w:rsid w:val="00C60807"/>
    <w:rsid w:val="00C818DF"/>
    <w:rsid w:val="00C8799F"/>
    <w:rsid w:val="00C95F4C"/>
    <w:rsid w:val="00CA4558"/>
    <w:rsid w:val="00CB2901"/>
    <w:rsid w:val="00CB3398"/>
    <w:rsid w:val="00CE55BA"/>
    <w:rsid w:val="00D0471B"/>
    <w:rsid w:val="00D048C8"/>
    <w:rsid w:val="00D05C79"/>
    <w:rsid w:val="00D07329"/>
    <w:rsid w:val="00D205B7"/>
    <w:rsid w:val="00D20DFC"/>
    <w:rsid w:val="00D21928"/>
    <w:rsid w:val="00D24324"/>
    <w:rsid w:val="00D3521B"/>
    <w:rsid w:val="00D67047"/>
    <w:rsid w:val="00D72C24"/>
    <w:rsid w:val="00D732CA"/>
    <w:rsid w:val="00D80930"/>
    <w:rsid w:val="00D80D6C"/>
    <w:rsid w:val="00D8159B"/>
    <w:rsid w:val="00D82FCC"/>
    <w:rsid w:val="00D9001E"/>
    <w:rsid w:val="00DA0A70"/>
    <w:rsid w:val="00DA6550"/>
    <w:rsid w:val="00DC6E00"/>
    <w:rsid w:val="00DE5141"/>
    <w:rsid w:val="00DF0C85"/>
    <w:rsid w:val="00DF11E9"/>
    <w:rsid w:val="00DF5D9B"/>
    <w:rsid w:val="00E11D62"/>
    <w:rsid w:val="00E153BE"/>
    <w:rsid w:val="00E204D9"/>
    <w:rsid w:val="00E210A2"/>
    <w:rsid w:val="00E35425"/>
    <w:rsid w:val="00E40727"/>
    <w:rsid w:val="00E40B70"/>
    <w:rsid w:val="00E44968"/>
    <w:rsid w:val="00E47497"/>
    <w:rsid w:val="00E57C3A"/>
    <w:rsid w:val="00E60B6E"/>
    <w:rsid w:val="00E64758"/>
    <w:rsid w:val="00E66FBC"/>
    <w:rsid w:val="00E707BC"/>
    <w:rsid w:val="00E916DA"/>
    <w:rsid w:val="00EA0AD3"/>
    <w:rsid w:val="00EA36A3"/>
    <w:rsid w:val="00EB7EAF"/>
    <w:rsid w:val="00EC1322"/>
    <w:rsid w:val="00EC3014"/>
    <w:rsid w:val="00ED2C00"/>
    <w:rsid w:val="00ED6EDB"/>
    <w:rsid w:val="00EE6B23"/>
    <w:rsid w:val="00EF1624"/>
    <w:rsid w:val="00EF43F0"/>
    <w:rsid w:val="00EF5069"/>
    <w:rsid w:val="00EF7CC9"/>
    <w:rsid w:val="00EF7F72"/>
    <w:rsid w:val="00F066EB"/>
    <w:rsid w:val="00F15B6B"/>
    <w:rsid w:val="00F26A1E"/>
    <w:rsid w:val="00F41053"/>
    <w:rsid w:val="00F47418"/>
    <w:rsid w:val="00F502B8"/>
    <w:rsid w:val="00F55FB2"/>
    <w:rsid w:val="00F602DB"/>
    <w:rsid w:val="00F60865"/>
    <w:rsid w:val="00F60FC8"/>
    <w:rsid w:val="00F64DDA"/>
    <w:rsid w:val="00F672F3"/>
    <w:rsid w:val="00F7797D"/>
    <w:rsid w:val="00FA1BF2"/>
    <w:rsid w:val="00FB40D7"/>
    <w:rsid w:val="00FF5CDA"/>
    <w:rsid w:val="00FF7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B87254-D9A2-43A4-833C-12D72D556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B7628F"/>
    <w:pPr>
      <w:keepNext/>
      <w:keepLines/>
      <w:numPr>
        <w:ilvl w:val="1"/>
        <w:numId w:val="4"/>
      </w:numPr>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numPr>
        <w:ilvl w:val="2"/>
        <w:numId w:val="2"/>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B7628F"/>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C1375F"/>
    <w:rPr>
      <w:sz w:val="16"/>
      <w:szCs w:val="16"/>
    </w:rPr>
  </w:style>
  <w:style w:type="paragraph" w:styleId="CommentText">
    <w:name w:val="annotation text"/>
    <w:basedOn w:val="Normal"/>
    <w:link w:val="CommentTextChar"/>
    <w:uiPriority w:val="99"/>
    <w:semiHidden/>
    <w:unhideWhenUsed/>
    <w:rsid w:val="00C1375F"/>
    <w:pPr>
      <w:spacing w:line="240" w:lineRule="auto"/>
    </w:pPr>
    <w:rPr>
      <w:sz w:val="20"/>
      <w:szCs w:val="20"/>
    </w:rPr>
  </w:style>
  <w:style w:type="character" w:customStyle="1" w:styleId="CommentTextChar">
    <w:name w:val="Comment Text Char"/>
    <w:basedOn w:val="DefaultParagraphFont"/>
    <w:link w:val="CommentText"/>
    <w:uiPriority w:val="99"/>
    <w:semiHidden/>
    <w:rsid w:val="00C1375F"/>
    <w:rPr>
      <w:sz w:val="20"/>
      <w:szCs w:val="20"/>
    </w:rPr>
  </w:style>
  <w:style w:type="paragraph" w:styleId="CommentSubject">
    <w:name w:val="annotation subject"/>
    <w:basedOn w:val="CommentText"/>
    <w:next w:val="CommentText"/>
    <w:link w:val="CommentSubjectChar"/>
    <w:uiPriority w:val="99"/>
    <w:semiHidden/>
    <w:unhideWhenUsed/>
    <w:rsid w:val="00C1375F"/>
    <w:rPr>
      <w:b/>
      <w:bCs/>
    </w:rPr>
  </w:style>
  <w:style w:type="character" w:customStyle="1" w:styleId="CommentSubjectChar">
    <w:name w:val="Comment Subject Char"/>
    <w:basedOn w:val="CommentTextChar"/>
    <w:link w:val="CommentSubject"/>
    <w:uiPriority w:val="99"/>
    <w:semiHidden/>
    <w:rsid w:val="00C1375F"/>
    <w:rPr>
      <w:b/>
      <w:bCs/>
      <w:sz w:val="20"/>
      <w:szCs w:val="20"/>
    </w:rPr>
  </w:style>
  <w:style w:type="paragraph" w:styleId="BodyText">
    <w:name w:val="Body Text"/>
    <w:basedOn w:val="Normal"/>
    <w:link w:val="BodyTextChar"/>
    <w:uiPriority w:val="1"/>
    <w:qFormat/>
    <w:rsid w:val="0042310C"/>
    <w:pPr>
      <w:widowControl w:val="0"/>
      <w:autoSpaceDE w:val="0"/>
      <w:autoSpaceDN w:val="0"/>
      <w:adjustRightInd w:val="0"/>
      <w:spacing w:after="0" w:line="240" w:lineRule="auto"/>
    </w:pPr>
    <w:rPr>
      <w:rFonts w:ascii="Times New Roman" w:eastAsiaTheme="minorEastAsia" w:hAnsi="Times New Roman" w:cs="Times New Roman"/>
    </w:rPr>
  </w:style>
  <w:style w:type="character" w:customStyle="1" w:styleId="BodyTextChar">
    <w:name w:val="Body Text Char"/>
    <w:basedOn w:val="DefaultParagraphFont"/>
    <w:link w:val="BodyText"/>
    <w:uiPriority w:val="1"/>
    <w:rsid w:val="0042310C"/>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1654</Words>
  <Characters>9429</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Gary.Paradoski</dc:creator>
  <cp:lastModifiedBy>John Liss Corelus</cp:lastModifiedBy>
  <cp:revision>2</cp:revision>
  <cp:lastPrinted>2019-04-04T13:32:00Z</cp:lastPrinted>
  <dcterms:created xsi:type="dcterms:W3CDTF">2019-05-15T16:41:00Z</dcterms:created>
  <dcterms:modified xsi:type="dcterms:W3CDTF">2019-05-15T16:41:00Z</dcterms:modified>
</cp:coreProperties>
</file>