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D067" w14:textId="77777777" w:rsidR="00EA3687" w:rsidRPr="00C23242" w:rsidRDefault="00EA3687" w:rsidP="00C23242">
      <w:pPr>
        <w:pStyle w:val="Heading1"/>
        <w:spacing w:before="0"/>
        <w:rPr>
          <w:sz w:val="24"/>
          <w:szCs w:val="24"/>
          <w:lang w:val="fr-CA"/>
        </w:rPr>
      </w:pPr>
    </w:p>
    <w:p w14:paraId="0AE1C6D4" w14:textId="77777777" w:rsidR="00FA79AA" w:rsidRPr="00C23242" w:rsidRDefault="004C0240" w:rsidP="00C23242">
      <w:pPr>
        <w:pStyle w:val="Heading1"/>
        <w:spacing w:before="0"/>
        <w:jc w:val="center"/>
        <w:rPr>
          <w:sz w:val="24"/>
          <w:szCs w:val="24"/>
          <w:lang w:val="fr-CA"/>
        </w:rPr>
      </w:pPr>
      <w:r w:rsidRPr="00C23242">
        <w:rPr>
          <w:sz w:val="24"/>
          <w:szCs w:val="24"/>
          <w:lang w:val="fr-CA"/>
        </w:rPr>
        <w:t>PNUD-Haïti</w:t>
      </w:r>
    </w:p>
    <w:p w14:paraId="12956A77" w14:textId="77777777" w:rsidR="004C0240" w:rsidRDefault="004C0240" w:rsidP="00C23242">
      <w:pPr>
        <w:pStyle w:val="Heading1"/>
        <w:spacing w:before="0"/>
        <w:jc w:val="center"/>
        <w:rPr>
          <w:sz w:val="24"/>
          <w:szCs w:val="24"/>
          <w:lang w:val="fr-CA"/>
        </w:rPr>
      </w:pPr>
      <w:r w:rsidRPr="00C23242">
        <w:rPr>
          <w:sz w:val="24"/>
          <w:szCs w:val="24"/>
          <w:lang w:val="fr-CA"/>
        </w:rPr>
        <w:t>Projet de relèvement post-catastrophe</w:t>
      </w:r>
    </w:p>
    <w:p w14:paraId="09221A98" w14:textId="77777777" w:rsidR="00C23242" w:rsidRPr="003061E5" w:rsidRDefault="00C23242" w:rsidP="00C23242">
      <w:pPr>
        <w:spacing w:after="0"/>
        <w:rPr>
          <w:lang w:val="fr-CA"/>
        </w:rPr>
      </w:pPr>
    </w:p>
    <w:p w14:paraId="7C62F801" w14:textId="3711D97F" w:rsidR="004C0240" w:rsidRDefault="00FA79AA" w:rsidP="00C23242">
      <w:pPr>
        <w:pStyle w:val="Heading1"/>
        <w:spacing w:before="0"/>
        <w:jc w:val="center"/>
        <w:rPr>
          <w:sz w:val="24"/>
          <w:szCs w:val="24"/>
          <w:lang w:val="fr-CA"/>
        </w:rPr>
      </w:pPr>
      <w:bookmarkStart w:id="0" w:name="_GoBack"/>
      <w:r w:rsidRPr="00C23242">
        <w:rPr>
          <w:sz w:val="24"/>
          <w:szCs w:val="24"/>
          <w:lang w:val="fr-CA"/>
        </w:rPr>
        <w:t xml:space="preserve">Consultation pour soutenir la sensibilisation et le renforcement des capacités pour la participation </w:t>
      </w:r>
      <w:r w:rsidR="004C0240" w:rsidRPr="00C23242">
        <w:rPr>
          <w:sz w:val="24"/>
          <w:szCs w:val="24"/>
          <w:lang w:val="fr-CA"/>
        </w:rPr>
        <w:t xml:space="preserve">et </w:t>
      </w:r>
      <w:r w:rsidR="003061E5">
        <w:rPr>
          <w:sz w:val="24"/>
          <w:szCs w:val="24"/>
          <w:lang w:val="fr-CA"/>
        </w:rPr>
        <w:t xml:space="preserve">le </w:t>
      </w:r>
      <w:r w:rsidRPr="00C23242">
        <w:rPr>
          <w:sz w:val="24"/>
          <w:szCs w:val="24"/>
          <w:lang w:val="fr-CA"/>
        </w:rPr>
        <w:t>lea</w:t>
      </w:r>
      <w:r w:rsidR="004C0240" w:rsidRPr="00C23242">
        <w:rPr>
          <w:sz w:val="24"/>
          <w:szCs w:val="24"/>
          <w:lang w:val="fr-CA"/>
        </w:rPr>
        <w:t xml:space="preserve">dership des </w:t>
      </w:r>
      <w:r w:rsidR="00F137BA">
        <w:rPr>
          <w:sz w:val="24"/>
          <w:szCs w:val="24"/>
          <w:lang w:val="fr-CA"/>
        </w:rPr>
        <w:t xml:space="preserve">femmes et d’autres </w:t>
      </w:r>
      <w:r w:rsidR="004C0240" w:rsidRPr="00C23242">
        <w:rPr>
          <w:sz w:val="24"/>
          <w:szCs w:val="24"/>
          <w:lang w:val="fr-CA"/>
        </w:rPr>
        <w:t>groupes marginalisé</w:t>
      </w:r>
      <w:r w:rsidR="003061E5">
        <w:rPr>
          <w:sz w:val="24"/>
          <w:szCs w:val="24"/>
          <w:lang w:val="fr-CA"/>
        </w:rPr>
        <w:t>s</w:t>
      </w:r>
    </w:p>
    <w:bookmarkEnd w:id="0"/>
    <w:p w14:paraId="7BD146CE" w14:textId="77777777" w:rsidR="00C23242" w:rsidRPr="003061E5" w:rsidRDefault="00C23242" w:rsidP="00C23242">
      <w:pPr>
        <w:spacing w:after="0"/>
        <w:rPr>
          <w:lang w:val="fr-CA"/>
        </w:rPr>
      </w:pPr>
    </w:p>
    <w:p w14:paraId="26964433" w14:textId="77777777" w:rsidR="00C23242" w:rsidRPr="00C23242" w:rsidRDefault="00637EBD" w:rsidP="00C23242">
      <w:pPr>
        <w:pStyle w:val="Heading1"/>
        <w:spacing w:before="0"/>
        <w:jc w:val="center"/>
        <w:rPr>
          <w:sz w:val="24"/>
          <w:szCs w:val="24"/>
          <w:lang w:val="fr-CA"/>
        </w:rPr>
      </w:pPr>
      <w:r w:rsidRPr="00C23242">
        <w:rPr>
          <w:sz w:val="24"/>
          <w:szCs w:val="24"/>
          <w:lang w:val="fr-CA"/>
        </w:rPr>
        <w:t>Terme</w:t>
      </w:r>
      <w:r w:rsidR="00301068" w:rsidRPr="00C23242">
        <w:rPr>
          <w:sz w:val="24"/>
          <w:szCs w:val="24"/>
          <w:lang w:val="fr-CA"/>
        </w:rPr>
        <w:t>s</w:t>
      </w:r>
      <w:r w:rsidRPr="00C23242">
        <w:rPr>
          <w:sz w:val="24"/>
          <w:szCs w:val="24"/>
          <w:lang w:val="fr-CA"/>
        </w:rPr>
        <w:t xml:space="preserve"> de référence</w:t>
      </w:r>
    </w:p>
    <w:p w14:paraId="6DC319A3" w14:textId="77777777" w:rsidR="00C23242" w:rsidRDefault="00C23242" w:rsidP="007A022A">
      <w:pPr>
        <w:jc w:val="both"/>
        <w:rPr>
          <w:rFonts w:cs="Times New Roman"/>
          <w:b/>
          <w:sz w:val="24"/>
          <w:szCs w:val="24"/>
          <w:lang w:val="fr-CA"/>
        </w:rPr>
      </w:pPr>
    </w:p>
    <w:p w14:paraId="70BB7C7F" w14:textId="77777777" w:rsidR="0018770C" w:rsidRDefault="00F17A85" w:rsidP="0018770C">
      <w:pPr>
        <w:pStyle w:val="Heading3"/>
        <w:numPr>
          <w:ilvl w:val="0"/>
          <w:numId w:val="19"/>
        </w:numPr>
        <w:spacing w:before="0"/>
        <w:rPr>
          <w:lang w:val="fr-CA"/>
        </w:rPr>
      </w:pPr>
      <w:r>
        <w:rPr>
          <w:lang w:val="fr-CA"/>
        </w:rPr>
        <w:t>CONTEXTE</w:t>
      </w:r>
    </w:p>
    <w:p w14:paraId="63A3FEC2" w14:textId="77777777" w:rsidR="00301068" w:rsidRDefault="00301068" w:rsidP="00C57783">
      <w:pPr>
        <w:rPr>
          <w:lang w:val="fr-FR"/>
        </w:rPr>
      </w:pPr>
      <w:r w:rsidRPr="0018770C">
        <w:rPr>
          <w:lang w:val="fr-FR"/>
        </w:rPr>
        <w:t>Le projet</w:t>
      </w:r>
      <w:r w:rsidRPr="00051B6D">
        <w:rPr>
          <w:lang w:val="fr-FR"/>
        </w:rPr>
        <w:t xml:space="preserve"> de relèvement post-catastrophe vise à soutenir le relèvement à long terme, la résilience aux chocs futurs et le développement durable, tout en répondant aux besoins immédiats dans les régions </w:t>
      </w:r>
      <w:r w:rsidR="003061E5">
        <w:rPr>
          <w:lang w:val="fr-FR"/>
        </w:rPr>
        <w:t xml:space="preserve">d’Haïti </w:t>
      </w:r>
      <w:r w:rsidRPr="00051B6D">
        <w:rPr>
          <w:lang w:val="fr-FR"/>
        </w:rPr>
        <w:t>touchées par les catastrophes naturelles. Afin d’atteindre les résult</w:t>
      </w:r>
      <w:r>
        <w:rPr>
          <w:lang w:val="fr-FR"/>
        </w:rPr>
        <w:t>ats attendus, ce projet soutient</w:t>
      </w:r>
      <w:r w:rsidRPr="00051B6D">
        <w:rPr>
          <w:lang w:val="fr-FR"/>
        </w:rPr>
        <w:t xml:space="preserve"> le renforcement de la connaissance approfondie des risques et de la vulnérabilité du territoire en tant qu’outil d’aide à la décision pour orienter les efforts de relèvement et de développement, tout en faisant le lien entre l’humanitaire et le développement. Le projet renforce ainsi la gouvernance en privilégiant les capacités nationales et locales en matière de planification, de coordination et de mise en œuvre liées aux efforts de relèvement. Le projet </w:t>
      </w:r>
      <w:r>
        <w:rPr>
          <w:lang w:val="fr-FR"/>
        </w:rPr>
        <w:t>appuie</w:t>
      </w:r>
      <w:r w:rsidRPr="00051B6D">
        <w:rPr>
          <w:lang w:val="fr-FR"/>
        </w:rPr>
        <w:t xml:space="preserve"> également la restauration des moyens de subsistance par la mise en œuvre de mesures d’urgence en faveur de l’emploi, de la réhabilitation des infrastructures communautaires, ainsi que la mise en place de formations pour la génération de revenus à court, moyen et long terme</w:t>
      </w:r>
      <w:r>
        <w:rPr>
          <w:lang w:val="fr-FR"/>
        </w:rPr>
        <w:t>s</w:t>
      </w:r>
      <w:r w:rsidRPr="00051B6D">
        <w:rPr>
          <w:lang w:val="fr-FR"/>
        </w:rPr>
        <w:t>. Le projet favorise l'égalité des sexes et l'autonomisation des femmes</w:t>
      </w:r>
      <w:r>
        <w:rPr>
          <w:lang w:val="fr-FR"/>
        </w:rPr>
        <w:t>, ainsi que la restauration et la préservation de l’environnement</w:t>
      </w:r>
      <w:r w:rsidRPr="00051B6D">
        <w:rPr>
          <w:lang w:val="fr-FR"/>
        </w:rPr>
        <w:t xml:space="preserve"> en tant qu'objectifs clés pour </w:t>
      </w:r>
      <w:r w:rsidR="003061E5">
        <w:rPr>
          <w:lang w:val="fr-FR"/>
        </w:rPr>
        <w:br/>
      </w:r>
      <w:r w:rsidRPr="00051B6D">
        <w:rPr>
          <w:lang w:val="fr-FR"/>
        </w:rPr>
        <w:t>«</w:t>
      </w:r>
      <w:r w:rsidR="003061E5">
        <w:rPr>
          <w:lang w:val="fr-FR"/>
        </w:rPr>
        <w:t xml:space="preserve"> </w:t>
      </w:r>
      <w:r w:rsidRPr="00051B6D">
        <w:rPr>
          <w:lang w:val="fr-FR"/>
        </w:rPr>
        <w:t xml:space="preserve">reconstruire en mieux » Haïti. </w:t>
      </w:r>
    </w:p>
    <w:p w14:paraId="2571449A" w14:textId="77777777" w:rsidR="009E6D8F" w:rsidRPr="00543CBD" w:rsidRDefault="009E6D8F" w:rsidP="00C57783">
      <w:pPr>
        <w:rPr>
          <w:lang w:val="fr-FR"/>
        </w:rPr>
      </w:pPr>
      <w:r w:rsidRPr="00543CBD">
        <w:rPr>
          <w:lang w:val="fr-FR"/>
        </w:rPr>
        <w:t xml:space="preserve">Les interventions de relèvement, qui créent des moyens </w:t>
      </w:r>
      <w:r w:rsidR="003061E5">
        <w:rPr>
          <w:lang w:val="fr-FR"/>
        </w:rPr>
        <w:t>de subsistance</w:t>
      </w:r>
      <w:r w:rsidRPr="00543CBD">
        <w:rPr>
          <w:lang w:val="fr-FR"/>
        </w:rPr>
        <w:t>, revitalisent les économies locales, assurent la cohésion sociale et éliminent les inégalités structurelles</w:t>
      </w:r>
      <w:r w:rsidR="00C9282D">
        <w:rPr>
          <w:lang w:val="fr-FR"/>
        </w:rPr>
        <w:t>,</w:t>
      </w:r>
      <w:r w:rsidRPr="00543CBD">
        <w:rPr>
          <w:lang w:val="fr-FR"/>
        </w:rPr>
        <w:t xml:space="preserve"> peuvent être le fondement d’un redressement complet et ouvrir la voie au développement durable. En tant que tel, une attention particulière a été portée aux quest</w:t>
      </w:r>
      <w:r>
        <w:rPr>
          <w:lang w:val="fr-FR"/>
        </w:rPr>
        <w:t xml:space="preserve">ions </w:t>
      </w:r>
      <w:r w:rsidR="00330E98">
        <w:rPr>
          <w:lang w:val="fr-FR"/>
        </w:rPr>
        <w:t>de genre et de diversité</w:t>
      </w:r>
      <w:r>
        <w:rPr>
          <w:lang w:val="fr-FR"/>
        </w:rPr>
        <w:t xml:space="preserve"> afin que </w:t>
      </w:r>
      <w:r w:rsidRPr="00543CBD">
        <w:rPr>
          <w:lang w:val="fr-FR"/>
        </w:rPr>
        <w:t xml:space="preserve">chacune des activités de ce projet contribue </w:t>
      </w:r>
      <w:r w:rsidR="00330E98">
        <w:rPr>
          <w:lang w:val="fr-FR"/>
        </w:rPr>
        <w:t xml:space="preserve">à </w:t>
      </w:r>
      <w:r w:rsidR="00330E98" w:rsidRPr="00330E98">
        <w:rPr>
          <w:lang w:val="fr-FR"/>
        </w:rPr>
        <w:t xml:space="preserve">des résultats durables </w:t>
      </w:r>
      <w:r w:rsidR="00581E50" w:rsidRPr="00581E50">
        <w:rPr>
          <w:lang w:val="fr-FR"/>
        </w:rPr>
        <w:t>qui profitent également à tous les membres de la communauté.</w:t>
      </w:r>
      <w:r w:rsidR="00581E50">
        <w:rPr>
          <w:lang w:val="fr-FR"/>
        </w:rPr>
        <w:t xml:space="preserve"> </w:t>
      </w:r>
      <w:r w:rsidRPr="00C81397">
        <w:rPr>
          <w:lang w:val="fr-FR"/>
        </w:rPr>
        <w:t xml:space="preserve">Conformément </w:t>
      </w:r>
      <w:r w:rsidR="00330E98" w:rsidRPr="00C81397">
        <w:rPr>
          <w:lang w:val="fr-FR"/>
        </w:rPr>
        <w:t>au principe</w:t>
      </w:r>
      <w:r w:rsidR="00C81397">
        <w:rPr>
          <w:lang w:val="fr-FR"/>
        </w:rPr>
        <w:t xml:space="preserve"> de ne laisser personne de côté</w:t>
      </w:r>
      <w:r w:rsidRPr="00543CBD">
        <w:rPr>
          <w:lang w:val="fr-FR"/>
        </w:rPr>
        <w:t xml:space="preserve">, ce projet </w:t>
      </w:r>
      <w:r w:rsidRPr="00051B6D">
        <w:rPr>
          <w:lang w:val="fr-FR"/>
        </w:rPr>
        <w:t>s’organise autou</w:t>
      </w:r>
      <w:r>
        <w:rPr>
          <w:lang w:val="fr-FR"/>
        </w:rPr>
        <w:t xml:space="preserve">r des trois objectifs suivants </w:t>
      </w:r>
      <w:r w:rsidRPr="00543CBD">
        <w:rPr>
          <w:lang w:val="fr-FR"/>
        </w:rPr>
        <w:t>:</w:t>
      </w:r>
    </w:p>
    <w:p w14:paraId="05617F8C" w14:textId="77777777" w:rsidR="009E6D8F" w:rsidRPr="00051B6D" w:rsidRDefault="009E6D8F" w:rsidP="00C57783">
      <w:pPr>
        <w:rPr>
          <w:rFonts w:cs="Arial"/>
          <w:lang w:val="fr-FR"/>
        </w:rPr>
      </w:pPr>
      <w:r w:rsidRPr="00270312">
        <w:rPr>
          <w:rFonts w:cs="Arial"/>
          <w:b/>
          <w:lang w:val="fr-FR"/>
        </w:rPr>
        <w:t>Axe 1 :</w:t>
      </w:r>
      <w:r>
        <w:rPr>
          <w:rFonts w:cs="Arial"/>
          <w:lang w:val="fr-FR"/>
        </w:rPr>
        <w:t xml:space="preserve"> </w:t>
      </w:r>
      <w:r w:rsidRPr="00051B6D">
        <w:rPr>
          <w:rFonts w:cs="Arial"/>
          <w:lang w:val="fr-FR"/>
        </w:rPr>
        <w:t>La durabilité des efforts de relèvement post-Mat</w:t>
      </w:r>
      <w:r>
        <w:rPr>
          <w:rFonts w:cs="Arial"/>
          <w:lang w:val="fr-FR"/>
        </w:rPr>
        <w:t xml:space="preserve">thew </w:t>
      </w:r>
      <w:r w:rsidRPr="00051B6D">
        <w:rPr>
          <w:rFonts w:cs="Arial"/>
          <w:lang w:val="fr-FR"/>
        </w:rPr>
        <w:t xml:space="preserve">s'est améliorée, en augmentant la résilience de la population aux catastrophes et en renforçant la redevabilité de l'État en matière de droits </w:t>
      </w:r>
      <w:r>
        <w:rPr>
          <w:rFonts w:cs="Arial"/>
          <w:lang w:val="fr-FR"/>
        </w:rPr>
        <w:t>humain</w:t>
      </w:r>
      <w:r w:rsidR="00C9282D">
        <w:rPr>
          <w:rFonts w:cs="Arial"/>
          <w:lang w:val="fr-FR"/>
        </w:rPr>
        <w:t>s</w:t>
      </w:r>
      <w:r w:rsidRPr="00051B6D">
        <w:rPr>
          <w:rFonts w:cs="Arial"/>
          <w:lang w:val="fr-FR"/>
        </w:rPr>
        <w:t xml:space="preserve"> et d'égalité des sexes.</w:t>
      </w:r>
    </w:p>
    <w:p w14:paraId="0866C8CC" w14:textId="77777777" w:rsidR="009E6D8F" w:rsidRDefault="009E6D8F" w:rsidP="00C57783">
      <w:pPr>
        <w:rPr>
          <w:rFonts w:cs="Arial"/>
          <w:lang w:val="fr-FR"/>
        </w:rPr>
      </w:pPr>
      <w:r w:rsidRPr="00270312">
        <w:rPr>
          <w:rFonts w:cs="Arial"/>
          <w:b/>
          <w:lang w:val="fr-FR"/>
        </w:rPr>
        <w:t>Axe 2 :</w:t>
      </w:r>
      <w:r>
        <w:rPr>
          <w:rFonts w:cs="Arial"/>
          <w:lang w:val="fr-FR"/>
        </w:rPr>
        <w:t xml:space="preserve"> </w:t>
      </w:r>
      <w:r w:rsidRPr="00051B6D">
        <w:rPr>
          <w:rFonts w:cs="Arial"/>
          <w:lang w:val="fr-FR"/>
        </w:rPr>
        <w:t>L'autonomisation économique des personnes touchées, et en particulier des femmes, est renforcée, ce qui contribue à la stabilité et à la revitalisation des ménages et des communautés.</w:t>
      </w:r>
    </w:p>
    <w:p w14:paraId="6A31F0A8" w14:textId="77777777" w:rsidR="009E6D8F" w:rsidRPr="00581E50" w:rsidRDefault="009E6D8F" w:rsidP="00C57783">
      <w:pPr>
        <w:rPr>
          <w:rFonts w:cs="Arial"/>
          <w:lang w:val="fr-FR"/>
        </w:rPr>
      </w:pPr>
      <w:r w:rsidRPr="00270312">
        <w:rPr>
          <w:rFonts w:cs="Arial"/>
          <w:b/>
          <w:lang w:val="fr-FR"/>
        </w:rPr>
        <w:t>Axe 3 :</w:t>
      </w:r>
      <w:r>
        <w:rPr>
          <w:rFonts w:cs="Arial"/>
          <w:lang w:val="fr-FR"/>
        </w:rPr>
        <w:t xml:space="preserve"> </w:t>
      </w:r>
      <w:r w:rsidRPr="00051B6D">
        <w:rPr>
          <w:rFonts w:cs="Arial"/>
          <w:lang w:val="fr-FR"/>
        </w:rPr>
        <w:t xml:space="preserve">Les moyens d'existence durables et la protection de l'environnement sont favorisés, </w:t>
      </w:r>
      <w:r w:rsidRPr="00581E50">
        <w:rPr>
          <w:rFonts w:cs="Arial"/>
          <w:lang w:val="fr-FR"/>
        </w:rPr>
        <w:t>améliorant la résilience des communautés, et en particulier des femmes et d'autres groupes défavorisés, aux risques liés à l’économie, au climat et aux catastrophes.</w:t>
      </w:r>
    </w:p>
    <w:p w14:paraId="18EA3FDD" w14:textId="77777777" w:rsidR="00C60D3C" w:rsidRPr="000D18C5" w:rsidRDefault="009A1B2C" w:rsidP="000D18C5">
      <w:pPr>
        <w:rPr>
          <w:lang w:val="fr-FR"/>
        </w:rPr>
      </w:pPr>
      <w:r w:rsidRPr="009A1B2C">
        <w:rPr>
          <w:lang w:val="fr-FR"/>
        </w:rPr>
        <w:t xml:space="preserve">Afin de </w:t>
      </w:r>
      <w:r w:rsidR="00CF2520">
        <w:rPr>
          <w:lang w:val="fr-FR"/>
        </w:rPr>
        <w:t>veiller à ce</w:t>
      </w:r>
      <w:r w:rsidRPr="009A1B2C">
        <w:rPr>
          <w:lang w:val="fr-FR"/>
        </w:rPr>
        <w:t xml:space="preserve"> que les citoyens</w:t>
      </w:r>
      <w:r w:rsidR="006750AB">
        <w:rPr>
          <w:lang w:val="fr-FR"/>
        </w:rPr>
        <w:t>/citoyennes</w:t>
      </w:r>
      <w:r w:rsidRPr="009A1B2C">
        <w:rPr>
          <w:lang w:val="fr-FR"/>
        </w:rPr>
        <w:t xml:space="preserve"> participent </w:t>
      </w:r>
      <w:r w:rsidR="006750AB">
        <w:rPr>
          <w:lang w:val="fr-FR"/>
        </w:rPr>
        <w:t>concrètement</w:t>
      </w:r>
      <w:r w:rsidRPr="009A1B2C">
        <w:rPr>
          <w:lang w:val="fr-FR"/>
        </w:rPr>
        <w:t xml:space="preserve"> aux initiatives locales de relèvement et </w:t>
      </w:r>
      <w:r w:rsidR="006750AB">
        <w:rPr>
          <w:lang w:val="fr-FR"/>
        </w:rPr>
        <w:t xml:space="preserve">qu’ils/elles </w:t>
      </w:r>
      <w:r w:rsidRPr="009A1B2C">
        <w:rPr>
          <w:lang w:val="fr-FR"/>
        </w:rPr>
        <w:t>bénéficient des résultats du projet, une approche</w:t>
      </w:r>
      <w:r w:rsidR="006750AB">
        <w:rPr>
          <w:lang w:val="fr-FR"/>
        </w:rPr>
        <w:t xml:space="preserve"> dynamique et</w:t>
      </w:r>
      <w:r w:rsidRPr="009A1B2C">
        <w:rPr>
          <w:lang w:val="fr-FR"/>
        </w:rPr>
        <w:t xml:space="preserve"> inclusive est </w:t>
      </w:r>
      <w:r w:rsidRPr="009A1B2C">
        <w:rPr>
          <w:lang w:val="fr-FR"/>
        </w:rPr>
        <w:lastRenderedPageBreak/>
        <w:t xml:space="preserve">nécessaire </w:t>
      </w:r>
      <w:r w:rsidR="006750AB">
        <w:rPr>
          <w:lang w:val="fr-FR"/>
        </w:rPr>
        <w:t>dans ce projet.</w:t>
      </w:r>
      <w:r w:rsidRPr="009A1B2C">
        <w:rPr>
          <w:lang w:val="fr-FR"/>
        </w:rPr>
        <w:t xml:space="preserve"> </w:t>
      </w:r>
      <w:r w:rsidR="00CF2520" w:rsidRPr="00CF2520">
        <w:rPr>
          <w:lang w:val="fr-FR"/>
        </w:rPr>
        <w:t>Une telle approche peut aider à garantir que les autorités locales et les citoyens</w:t>
      </w:r>
      <w:r w:rsidR="00CF2520">
        <w:rPr>
          <w:lang w:val="fr-FR"/>
        </w:rPr>
        <w:t>/citoyennes</w:t>
      </w:r>
      <w:r w:rsidR="00CF2520" w:rsidRPr="00CF2520">
        <w:rPr>
          <w:lang w:val="fr-FR"/>
        </w:rPr>
        <w:t xml:space="preserve"> collaborent </w:t>
      </w:r>
      <w:r w:rsidR="00CF2520">
        <w:rPr>
          <w:lang w:val="fr-FR"/>
        </w:rPr>
        <w:t xml:space="preserve">efficacement pour planifier, </w:t>
      </w:r>
      <w:r w:rsidR="00CF2520" w:rsidRPr="00CF2520">
        <w:rPr>
          <w:lang w:val="fr-FR"/>
        </w:rPr>
        <w:t>mettre en œuvre</w:t>
      </w:r>
      <w:r w:rsidR="00CF2520">
        <w:rPr>
          <w:lang w:val="fr-FR"/>
        </w:rPr>
        <w:t xml:space="preserve"> et suivre</w:t>
      </w:r>
      <w:r w:rsidR="00CF2520" w:rsidRPr="00CF2520">
        <w:rPr>
          <w:lang w:val="fr-FR"/>
        </w:rPr>
        <w:t xml:space="preserve"> </w:t>
      </w:r>
      <w:r w:rsidR="00C9282D">
        <w:rPr>
          <w:lang w:val="fr-FR"/>
        </w:rPr>
        <w:t>ensemble</w:t>
      </w:r>
      <w:r w:rsidR="00CF2520">
        <w:rPr>
          <w:lang w:val="fr-FR"/>
        </w:rPr>
        <w:t xml:space="preserve"> </w:t>
      </w:r>
      <w:r w:rsidR="00CF2520" w:rsidRPr="00CF2520">
        <w:rPr>
          <w:lang w:val="fr-FR"/>
        </w:rPr>
        <w:t>des initiatives communautaires de relèvement et de développement</w:t>
      </w:r>
      <w:r w:rsidR="00CF2520">
        <w:rPr>
          <w:lang w:val="fr-FR"/>
        </w:rPr>
        <w:t xml:space="preserve">, </w:t>
      </w:r>
      <w:r w:rsidR="00CF2520" w:rsidRPr="00CF2520">
        <w:rPr>
          <w:lang w:val="fr-FR"/>
        </w:rPr>
        <w:t>tout en veillan</w:t>
      </w:r>
      <w:r w:rsidR="00B54DBC">
        <w:rPr>
          <w:lang w:val="fr-FR"/>
        </w:rPr>
        <w:t>t à ne laisser personne de côté</w:t>
      </w:r>
      <w:r w:rsidR="00CF2520" w:rsidRPr="00CF2520">
        <w:rPr>
          <w:lang w:val="fr-FR"/>
        </w:rPr>
        <w:t>.</w:t>
      </w:r>
      <w:r w:rsidRPr="009A1B2C">
        <w:rPr>
          <w:lang w:val="fr-FR"/>
        </w:rPr>
        <w:t xml:space="preserve"> À cet égard, le PNUD-Haïti </w:t>
      </w:r>
      <w:r w:rsidR="00CF2520">
        <w:rPr>
          <w:lang w:val="fr-FR"/>
        </w:rPr>
        <w:t>che</w:t>
      </w:r>
      <w:r w:rsidR="00B54DBC">
        <w:rPr>
          <w:lang w:val="fr-FR"/>
        </w:rPr>
        <w:t>rche à engager une firme/</w:t>
      </w:r>
      <w:r w:rsidR="00CF2520">
        <w:rPr>
          <w:lang w:val="fr-FR"/>
        </w:rPr>
        <w:t xml:space="preserve">organisation locale </w:t>
      </w:r>
      <w:r w:rsidR="00C9282D">
        <w:rPr>
          <w:lang w:val="fr-FR"/>
        </w:rPr>
        <w:t xml:space="preserve">pour </w:t>
      </w:r>
      <w:r w:rsidRPr="009A1B2C">
        <w:rPr>
          <w:lang w:val="fr-FR"/>
        </w:rPr>
        <w:t>renforcer la sensibilisation et les capacités nécessaires</w:t>
      </w:r>
      <w:r w:rsidR="00B54DBC">
        <w:rPr>
          <w:lang w:val="fr-FR"/>
        </w:rPr>
        <w:t xml:space="preserve"> pour </w:t>
      </w:r>
      <w:r w:rsidR="00D86FDF" w:rsidRPr="00D86FDF">
        <w:rPr>
          <w:lang w:val="fr-FR"/>
        </w:rPr>
        <w:t>une approche d'engagement communautaire qui renforce la solidarité et les relations de collaboration entre les citoyens</w:t>
      </w:r>
      <w:r w:rsidR="00D86FDF">
        <w:rPr>
          <w:lang w:val="fr-FR"/>
        </w:rPr>
        <w:t>/citoyennes</w:t>
      </w:r>
      <w:r w:rsidR="00D86FDF" w:rsidRPr="00D86FDF">
        <w:rPr>
          <w:lang w:val="fr-FR"/>
        </w:rPr>
        <w:t xml:space="preserve"> et l'État, en mettant l'accent sur l'engagement des femmes, des jeun</w:t>
      </w:r>
      <w:r w:rsidR="00D86FDF">
        <w:rPr>
          <w:lang w:val="fr-FR"/>
        </w:rPr>
        <w:t xml:space="preserve">es et des personnes vivant avec un handicap. </w:t>
      </w:r>
      <w:r w:rsidR="00C81397" w:rsidRPr="00581E50">
        <w:rPr>
          <w:lang w:val="fr-FR"/>
        </w:rPr>
        <w:t xml:space="preserve">Ces </w:t>
      </w:r>
      <w:r w:rsidR="00C9282D">
        <w:rPr>
          <w:lang w:val="fr-FR"/>
        </w:rPr>
        <w:t>t</w:t>
      </w:r>
      <w:r w:rsidR="00C9282D" w:rsidRPr="00581E50">
        <w:rPr>
          <w:lang w:val="fr-FR"/>
        </w:rPr>
        <w:t xml:space="preserve">ermes </w:t>
      </w:r>
      <w:r w:rsidR="00C81397" w:rsidRPr="00581E50">
        <w:rPr>
          <w:lang w:val="fr-FR"/>
        </w:rPr>
        <w:t xml:space="preserve">de </w:t>
      </w:r>
      <w:r w:rsidR="00C9282D">
        <w:rPr>
          <w:lang w:val="fr-FR"/>
        </w:rPr>
        <w:t>r</w:t>
      </w:r>
      <w:r w:rsidR="00C9282D" w:rsidRPr="00581E50">
        <w:rPr>
          <w:lang w:val="fr-FR"/>
        </w:rPr>
        <w:t xml:space="preserve">éférence </w:t>
      </w:r>
      <w:r w:rsidR="00C81397" w:rsidRPr="00581E50">
        <w:rPr>
          <w:lang w:val="fr-FR"/>
        </w:rPr>
        <w:t xml:space="preserve">décrivent la portée et le contenu des travaux à réaliser par la firme </w:t>
      </w:r>
      <w:r w:rsidR="00D86FDF">
        <w:rPr>
          <w:lang w:val="fr-FR"/>
        </w:rPr>
        <w:t xml:space="preserve">ou l’organisation </w:t>
      </w:r>
      <w:r w:rsidR="00C81397" w:rsidRPr="00581E50">
        <w:rPr>
          <w:lang w:val="fr-FR"/>
        </w:rPr>
        <w:t xml:space="preserve">locale </w:t>
      </w:r>
      <w:r w:rsidR="00D86FDF" w:rsidRPr="00581E50">
        <w:rPr>
          <w:lang w:val="fr-FR"/>
        </w:rPr>
        <w:t>(ci-après « la firme</w:t>
      </w:r>
      <w:r w:rsidR="00D86FDF">
        <w:rPr>
          <w:lang w:val="fr-FR"/>
        </w:rPr>
        <w:t xml:space="preserve"> ») </w:t>
      </w:r>
      <w:r w:rsidR="00C81397" w:rsidRPr="00581E50">
        <w:rPr>
          <w:lang w:val="fr-FR"/>
        </w:rPr>
        <w:t>dans le cadre de</w:t>
      </w:r>
      <w:r w:rsidR="00D86FDF">
        <w:rPr>
          <w:lang w:val="fr-FR"/>
        </w:rPr>
        <w:t xml:space="preserve"> cette consultation. </w:t>
      </w:r>
    </w:p>
    <w:p w14:paraId="6DA0CB29" w14:textId="77777777" w:rsidR="0018770C" w:rsidRDefault="00F17A85" w:rsidP="0018770C">
      <w:pPr>
        <w:pStyle w:val="Heading3"/>
        <w:numPr>
          <w:ilvl w:val="0"/>
          <w:numId w:val="19"/>
        </w:numPr>
        <w:spacing w:before="0" w:line="240" w:lineRule="auto"/>
        <w:rPr>
          <w:shd w:val="clear" w:color="auto" w:fill="FFFFFF"/>
          <w:lang w:val="fr-CA"/>
        </w:rPr>
      </w:pPr>
      <w:r>
        <w:rPr>
          <w:shd w:val="clear" w:color="auto" w:fill="FFFFFF"/>
          <w:lang w:val="fr-CA"/>
        </w:rPr>
        <w:t>STRATÉGIE</w:t>
      </w:r>
    </w:p>
    <w:p w14:paraId="4C9EE7D8" w14:textId="77777777" w:rsidR="00A65AF7" w:rsidRPr="00A65AF7" w:rsidRDefault="00A65AF7" w:rsidP="00C57783">
      <w:pPr>
        <w:rPr>
          <w:shd w:val="clear" w:color="auto" w:fill="FFFFFF"/>
          <w:lang w:val="fr-CA"/>
        </w:rPr>
      </w:pPr>
      <w:r w:rsidRPr="00A65AF7">
        <w:rPr>
          <w:shd w:val="clear" w:color="auto" w:fill="FFFFFF"/>
          <w:lang w:val="fr-CA"/>
        </w:rPr>
        <w:t xml:space="preserve">Le présent projet s’appuie sur les enseignements tirés de la réponse au tremblement de terre qui a frappé Haïti en janvier 2010 et s’inscrit pleinement dans la volonté du </w:t>
      </w:r>
      <w:r w:rsidR="00C9282D">
        <w:rPr>
          <w:shd w:val="clear" w:color="auto" w:fill="FFFFFF"/>
          <w:lang w:val="fr-CA"/>
        </w:rPr>
        <w:t>g</w:t>
      </w:r>
      <w:r w:rsidR="00C9282D" w:rsidRPr="00A65AF7">
        <w:rPr>
          <w:shd w:val="clear" w:color="auto" w:fill="FFFFFF"/>
          <w:lang w:val="fr-CA"/>
        </w:rPr>
        <w:t xml:space="preserve">ouvernement </w:t>
      </w:r>
      <w:r w:rsidRPr="00A65AF7">
        <w:rPr>
          <w:shd w:val="clear" w:color="auto" w:fill="FFFFFF"/>
          <w:lang w:val="fr-CA"/>
        </w:rPr>
        <w:t xml:space="preserve">haïtien d’assumer le leadership de la réponse et du relèvement après le passage de l’ouragan Mathieu. Le projet vise à faciliter un processus de relèvement efficace qui tient compte des risques et rétablit les </w:t>
      </w:r>
      <w:r w:rsidR="004A39F7">
        <w:rPr>
          <w:shd w:val="clear" w:color="auto" w:fill="FFFFFF"/>
          <w:lang w:val="fr-CA"/>
        </w:rPr>
        <w:t>moyens</w:t>
      </w:r>
      <w:r w:rsidR="00C9282D" w:rsidRPr="00A65AF7">
        <w:rPr>
          <w:shd w:val="clear" w:color="auto" w:fill="FFFFFF"/>
          <w:lang w:val="fr-CA"/>
        </w:rPr>
        <w:t xml:space="preserve"> </w:t>
      </w:r>
      <w:r w:rsidRPr="00A65AF7">
        <w:rPr>
          <w:shd w:val="clear" w:color="auto" w:fill="FFFFFF"/>
          <w:lang w:val="fr-CA"/>
        </w:rPr>
        <w:t xml:space="preserve">menant au développement durable inclusif, en prenant en considération les vulnérabilités, les capacités et les défis du développement. La stratégie du projet reconnaît le rôle de la société civile et des gouvernements locaux ainsi que la nécessité de renforcer l’appropriation au niveau national avec des partenaires tels que le Ministère de la Planification et de la Coopération </w:t>
      </w:r>
      <w:r w:rsidR="00C9282D">
        <w:rPr>
          <w:shd w:val="clear" w:color="auto" w:fill="FFFFFF"/>
          <w:lang w:val="fr-CA"/>
        </w:rPr>
        <w:t>e</w:t>
      </w:r>
      <w:r w:rsidR="00C9282D" w:rsidRPr="00A65AF7">
        <w:rPr>
          <w:shd w:val="clear" w:color="auto" w:fill="FFFFFF"/>
          <w:lang w:val="fr-CA"/>
        </w:rPr>
        <w:t xml:space="preserve">xterne </w:t>
      </w:r>
      <w:r w:rsidRPr="00A65AF7">
        <w:rPr>
          <w:shd w:val="clear" w:color="auto" w:fill="FFFFFF"/>
          <w:lang w:val="fr-CA"/>
        </w:rPr>
        <w:t xml:space="preserve">(MPCE), le Ministère de l’Intérieur et des Collectivités </w:t>
      </w:r>
      <w:r w:rsidR="00C9282D">
        <w:rPr>
          <w:shd w:val="clear" w:color="auto" w:fill="FFFFFF"/>
          <w:lang w:val="fr-CA"/>
        </w:rPr>
        <w:t>territoriales</w:t>
      </w:r>
      <w:r w:rsidR="00C9282D" w:rsidRPr="00A65AF7">
        <w:rPr>
          <w:shd w:val="clear" w:color="auto" w:fill="FFFFFF"/>
          <w:lang w:val="fr-CA"/>
        </w:rPr>
        <w:t xml:space="preserve"> </w:t>
      </w:r>
      <w:r w:rsidRPr="00A65AF7">
        <w:rPr>
          <w:shd w:val="clear" w:color="auto" w:fill="FFFFFF"/>
          <w:lang w:val="fr-CA"/>
        </w:rPr>
        <w:t xml:space="preserve">(MICT) ainsi que la Direction de la </w:t>
      </w:r>
      <w:r w:rsidR="00C9282D">
        <w:rPr>
          <w:shd w:val="clear" w:color="auto" w:fill="FFFFFF"/>
          <w:lang w:val="fr-CA"/>
        </w:rPr>
        <w:t>p</w:t>
      </w:r>
      <w:r w:rsidR="00C9282D" w:rsidRPr="00A65AF7">
        <w:rPr>
          <w:shd w:val="clear" w:color="auto" w:fill="FFFFFF"/>
          <w:lang w:val="fr-CA"/>
        </w:rPr>
        <w:t xml:space="preserve">rotection </w:t>
      </w:r>
      <w:r w:rsidR="00C9282D">
        <w:rPr>
          <w:shd w:val="clear" w:color="auto" w:fill="FFFFFF"/>
          <w:lang w:val="fr-CA"/>
        </w:rPr>
        <w:t>c</w:t>
      </w:r>
      <w:r w:rsidRPr="00A65AF7">
        <w:rPr>
          <w:shd w:val="clear" w:color="auto" w:fill="FFFFFF"/>
          <w:lang w:val="fr-CA"/>
        </w:rPr>
        <w:t>ivile (DPC) dans le processus de relèvement et de renforcem</w:t>
      </w:r>
      <w:r>
        <w:rPr>
          <w:shd w:val="clear" w:color="auto" w:fill="FFFFFF"/>
          <w:lang w:val="fr-CA"/>
        </w:rPr>
        <w:t>ent de la résilience.</w:t>
      </w:r>
    </w:p>
    <w:p w14:paraId="07311E5E" w14:textId="5999C0B2" w:rsidR="00A65AF7" w:rsidRPr="00A65AF7" w:rsidRDefault="00A65AF7" w:rsidP="00C57783">
      <w:pPr>
        <w:rPr>
          <w:shd w:val="clear" w:color="auto" w:fill="FFFFFF"/>
          <w:lang w:val="fr-CA"/>
        </w:rPr>
      </w:pPr>
      <w:r w:rsidRPr="00A65AF7">
        <w:rPr>
          <w:shd w:val="clear" w:color="auto" w:fill="FFFFFF"/>
          <w:lang w:val="fr-CA"/>
        </w:rPr>
        <w:t xml:space="preserve">Dans le cadre du projet, l'accent sera mis sur le renforcement des capacités du </w:t>
      </w:r>
      <w:r w:rsidR="00C9282D">
        <w:rPr>
          <w:shd w:val="clear" w:color="auto" w:fill="FFFFFF"/>
          <w:lang w:val="fr-CA"/>
        </w:rPr>
        <w:t>g</w:t>
      </w:r>
      <w:r w:rsidRPr="00A65AF7">
        <w:rPr>
          <w:shd w:val="clear" w:color="auto" w:fill="FFFFFF"/>
          <w:lang w:val="fr-CA"/>
        </w:rPr>
        <w:t>ouvernement à tous les niveaux en vue de reconstruire, de se remettre de la catastrophe et de prévenir la survenue d’événements à risque</w:t>
      </w:r>
      <w:r w:rsidR="002349E0">
        <w:rPr>
          <w:shd w:val="clear" w:color="auto" w:fill="FFFFFF"/>
          <w:lang w:val="fr-CA"/>
        </w:rPr>
        <w:t>s</w:t>
      </w:r>
      <w:r w:rsidRPr="00A65AF7">
        <w:rPr>
          <w:shd w:val="clear" w:color="auto" w:fill="FFFFFF"/>
          <w:lang w:val="fr-CA"/>
        </w:rPr>
        <w:t xml:space="preserve"> récurrents. Au niveau communautaire, ce renforcement des capacités inclura des efforts pour renforcer la cohésion sociale et autonomiser les groupes souvent défavorisés et/ou marginalisés, y compris les femmes, les jeunes et les personnes vivant avec un handicap, de jouer un rôle actif dans les efforts de relèvement et de</w:t>
      </w:r>
      <w:r>
        <w:rPr>
          <w:shd w:val="clear" w:color="auto" w:fill="FFFFFF"/>
          <w:lang w:val="fr-CA"/>
        </w:rPr>
        <w:t xml:space="preserve"> développement communautaires. </w:t>
      </w:r>
    </w:p>
    <w:p w14:paraId="0266A7E9" w14:textId="676C6283" w:rsidR="00A65AF7" w:rsidRPr="00A65AF7" w:rsidRDefault="00A65AF7" w:rsidP="00C57783">
      <w:pPr>
        <w:rPr>
          <w:shd w:val="clear" w:color="auto" w:fill="FFFFFF"/>
          <w:lang w:val="fr-CA"/>
        </w:rPr>
      </w:pPr>
      <w:r w:rsidRPr="00A65AF7">
        <w:rPr>
          <w:shd w:val="clear" w:color="auto" w:fill="FFFFFF"/>
          <w:lang w:val="fr-CA"/>
        </w:rPr>
        <w:t xml:space="preserve">Dans cette </w:t>
      </w:r>
      <w:r>
        <w:rPr>
          <w:shd w:val="clear" w:color="auto" w:fill="FFFFFF"/>
          <w:lang w:val="fr-CA"/>
        </w:rPr>
        <w:t>optique, le projet soutiendra l’</w:t>
      </w:r>
      <w:r w:rsidRPr="00A65AF7">
        <w:rPr>
          <w:shd w:val="clear" w:color="auto" w:fill="FFFFFF"/>
          <w:lang w:val="fr-CA"/>
        </w:rPr>
        <w:t xml:space="preserve">élaboration, la mise en œuvre et le suivi des Plans communaux de développement (PCD) et des Plans de contingence municipaux (PCM) dans les communes cibles comme interventions nécessaires pour aider les communautés à passer du relèvement </w:t>
      </w:r>
      <w:r w:rsidR="00662F9D">
        <w:rPr>
          <w:shd w:val="clear" w:color="auto" w:fill="FFFFFF"/>
          <w:lang w:val="fr-CA"/>
        </w:rPr>
        <w:t>au</w:t>
      </w:r>
      <w:r w:rsidRPr="00A65AF7">
        <w:rPr>
          <w:shd w:val="clear" w:color="auto" w:fill="FFFFFF"/>
          <w:lang w:val="fr-CA"/>
        </w:rPr>
        <w:t xml:space="preserve"> développement et à favoriser une meilleure réponse aux futures catastrophes en Haïti. Assurer la plus grande efficacité et durabilité de ces plans nécessitera l'engagement et la participation des citoyens et des citoyennes, en mettant l'accent sur l'inclusion de groupes souvent marginalisés pour s'assurer que les plans répondent à leurs besoins et priorités spécifiques. En tant que tel, le PNUD vise à contribuer à accroître la participation, l’influence et la prise de décision des femmes et d’autres populations souvent marginalisées dans </w:t>
      </w:r>
      <w:r w:rsidR="006B4449">
        <w:rPr>
          <w:shd w:val="clear" w:color="auto" w:fill="FFFFFF"/>
          <w:lang w:val="fr-CA"/>
        </w:rPr>
        <w:t>ces processus</w:t>
      </w:r>
      <w:r w:rsidRPr="00A65AF7">
        <w:rPr>
          <w:shd w:val="clear" w:color="auto" w:fill="FFFFFF"/>
          <w:lang w:val="fr-CA"/>
        </w:rPr>
        <w:t>, tout en s’assurant qu'elles aient un meilleur accès aux avantages de</w:t>
      </w:r>
      <w:r w:rsidR="006B4449">
        <w:rPr>
          <w:shd w:val="clear" w:color="auto" w:fill="FFFFFF"/>
          <w:lang w:val="fr-CA"/>
        </w:rPr>
        <w:t xml:space="preserve">s activités de développement </w:t>
      </w:r>
      <w:r w:rsidR="00951B27">
        <w:rPr>
          <w:shd w:val="clear" w:color="auto" w:fill="FFFFFF"/>
          <w:lang w:val="fr-CA"/>
        </w:rPr>
        <w:t xml:space="preserve">en </w:t>
      </w:r>
      <w:r w:rsidR="006B4449">
        <w:rPr>
          <w:shd w:val="clear" w:color="auto" w:fill="FFFFFF"/>
          <w:lang w:val="fr-CA"/>
        </w:rPr>
        <w:t>découlant</w:t>
      </w:r>
      <w:r>
        <w:rPr>
          <w:shd w:val="clear" w:color="auto" w:fill="FFFFFF"/>
          <w:lang w:val="fr-CA"/>
        </w:rPr>
        <w:t>.</w:t>
      </w:r>
    </w:p>
    <w:p w14:paraId="37444C1E" w14:textId="77777777" w:rsidR="00A65AF7" w:rsidRDefault="00A65AF7" w:rsidP="00C57783">
      <w:pPr>
        <w:rPr>
          <w:shd w:val="clear" w:color="auto" w:fill="FFFFFF"/>
          <w:lang w:val="fr-CA"/>
        </w:rPr>
      </w:pPr>
      <w:r w:rsidRPr="00A65AF7">
        <w:rPr>
          <w:shd w:val="clear" w:color="auto" w:fill="FFFFFF"/>
          <w:lang w:val="fr-CA"/>
        </w:rPr>
        <w:t xml:space="preserve">Sur le plan de sa portée géographique, conformément aux résultats de l’Évaluation des besoins post-catastrophe et en consultation avec le </w:t>
      </w:r>
      <w:r w:rsidR="00662F9D">
        <w:rPr>
          <w:shd w:val="clear" w:color="auto" w:fill="FFFFFF"/>
          <w:lang w:val="fr-CA"/>
        </w:rPr>
        <w:t>g</w:t>
      </w:r>
      <w:r w:rsidR="00662F9D" w:rsidRPr="00A65AF7">
        <w:rPr>
          <w:shd w:val="clear" w:color="auto" w:fill="FFFFFF"/>
          <w:lang w:val="fr-CA"/>
        </w:rPr>
        <w:t>ouvernement</w:t>
      </w:r>
      <w:r w:rsidRPr="00A65AF7">
        <w:rPr>
          <w:shd w:val="clear" w:color="auto" w:fill="FFFFFF"/>
          <w:lang w:val="fr-CA"/>
        </w:rPr>
        <w:t>, le projet se concentrera d’abord sur les quatre départements les plus touchés, ciblant un groupe de quatre communes à la fois. La planification du projet et les consultations avec les entités gouvernementales ont déterminé que ces activités débuteront dans la Grand Anse.</w:t>
      </w:r>
    </w:p>
    <w:p w14:paraId="5228F6C3" w14:textId="77777777" w:rsidR="007A022A" w:rsidRDefault="00DE456B" w:rsidP="00DE456B">
      <w:pPr>
        <w:pStyle w:val="Heading3"/>
        <w:numPr>
          <w:ilvl w:val="0"/>
          <w:numId w:val="19"/>
        </w:numPr>
        <w:rPr>
          <w:lang w:val="fr-CA"/>
        </w:rPr>
      </w:pPr>
      <w:r>
        <w:rPr>
          <w:lang w:val="fr-CA"/>
        </w:rPr>
        <w:t>OBJECTIFS DU TRAVAUX</w:t>
      </w:r>
    </w:p>
    <w:p w14:paraId="088F7BD9" w14:textId="77777777" w:rsidR="00452915" w:rsidRDefault="00452915" w:rsidP="00C57783">
      <w:pPr>
        <w:rPr>
          <w:lang w:val="fr-CA"/>
        </w:rPr>
      </w:pPr>
      <w:r w:rsidRPr="00E8697D">
        <w:rPr>
          <w:lang w:val="fr-CA"/>
        </w:rPr>
        <w:t>L'objectif général de cette consultation est de faciliter les processus de sensibilisation, de formation et d'engagement qui aideront à instaurer une approche inclusive et communautaire pour l'élaboration, la</w:t>
      </w:r>
      <w:r w:rsidR="0046781F" w:rsidRPr="00E8697D">
        <w:rPr>
          <w:lang w:val="fr-CA"/>
        </w:rPr>
        <w:t xml:space="preserve"> mise en œuvre et le suivi des P</w:t>
      </w:r>
      <w:r w:rsidRPr="00E8697D">
        <w:rPr>
          <w:lang w:val="fr-CA"/>
        </w:rPr>
        <w:t xml:space="preserve">lans de développement communaux </w:t>
      </w:r>
      <w:r w:rsidR="0046781F" w:rsidRPr="00E8697D">
        <w:rPr>
          <w:lang w:val="fr-CA"/>
        </w:rPr>
        <w:t>(PCD) et des P</w:t>
      </w:r>
      <w:r w:rsidRPr="00E8697D">
        <w:rPr>
          <w:lang w:val="fr-CA"/>
        </w:rPr>
        <w:t>lans de contingence municipaux</w:t>
      </w:r>
      <w:r w:rsidR="0046781F" w:rsidRPr="00E8697D">
        <w:rPr>
          <w:lang w:val="fr-CA"/>
        </w:rPr>
        <w:t xml:space="preserve"> (PCM) dans le premier groupe de </w:t>
      </w:r>
      <w:r w:rsidR="00662F9D">
        <w:rPr>
          <w:lang w:val="fr-CA"/>
        </w:rPr>
        <w:t>quatre</w:t>
      </w:r>
      <w:r w:rsidR="00662F9D" w:rsidRPr="00E8697D">
        <w:rPr>
          <w:lang w:val="fr-CA"/>
        </w:rPr>
        <w:t xml:space="preserve"> </w:t>
      </w:r>
      <w:r w:rsidR="0046781F" w:rsidRPr="00E8697D">
        <w:rPr>
          <w:lang w:val="fr-CA"/>
        </w:rPr>
        <w:t>communes cibles de la Grand Anse.</w:t>
      </w:r>
    </w:p>
    <w:p w14:paraId="038EE19E" w14:textId="3D11F1ED" w:rsidR="00074E88" w:rsidRPr="00E8697D" w:rsidRDefault="00074E88" w:rsidP="00C57783">
      <w:pPr>
        <w:rPr>
          <w:lang w:val="fr-CA"/>
        </w:rPr>
      </w:pPr>
      <w:r w:rsidRPr="00074E88">
        <w:rPr>
          <w:lang w:val="fr-CA"/>
        </w:rPr>
        <w:t xml:space="preserve">Les activités devraient être mises en œuvre sur la base de méthodologies de développement </w:t>
      </w:r>
      <w:r>
        <w:rPr>
          <w:lang w:val="fr-CA"/>
        </w:rPr>
        <w:t>fondées sur la communauté et les citoyen</w:t>
      </w:r>
      <w:r w:rsidR="00662F9D">
        <w:rPr>
          <w:lang w:val="fr-CA"/>
        </w:rPr>
        <w:t>s</w:t>
      </w:r>
      <w:r w:rsidRPr="00662F9D">
        <w:rPr>
          <w:lang w:val="fr-CA"/>
        </w:rPr>
        <w:t>/</w:t>
      </w:r>
      <w:proofErr w:type="spellStart"/>
      <w:r w:rsidR="00662F9D">
        <w:rPr>
          <w:lang w:val="fr-CA"/>
        </w:rPr>
        <w:t>citoyenn</w:t>
      </w:r>
      <w:r w:rsidRPr="00662F9D">
        <w:rPr>
          <w:lang w:val="fr-CA"/>
        </w:rPr>
        <w:t>nes</w:t>
      </w:r>
      <w:proofErr w:type="spellEnd"/>
      <w:r w:rsidRPr="00662F9D">
        <w:rPr>
          <w:lang w:val="fr-CA"/>
        </w:rPr>
        <w:t xml:space="preserve">, </w:t>
      </w:r>
      <w:r>
        <w:rPr>
          <w:lang w:val="fr-CA"/>
        </w:rPr>
        <w:t>des partenaires gouvernementaux</w:t>
      </w:r>
      <w:r w:rsidRPr="00074E88">
        <w:rPr>
          <w:lang w:val="fr-CA"/>
        </w:rPr>
        <w:t xml:space="preserve"> et des bénéficiaires. </w:t>
      </w:r>
      <w:r w:rsidR="00EE2639">
        <w:rPr>
          <w:lang w:val="fr-CA"/>
        </w:rPr>
        <w:t>La firme</w:t>
      </w:r>
      <w:r w:rsidRPr="00074E88">
        <w:rPr>
          <w:lang w:val="fr-CA"/>
        </w:rPr>
        <w:t xml:space="preserve"> accompagnera l'équipe de projet post-catastrophe, en particulier les mobilisateurs communautaire</w:t>
      </w:r>
      <w:r w:rsidR="00EE2639">
        <w:rPr>
          <w:lang w:val="fr-CA"/>
        </w:rPr>
        <w:t>s, les experts techniques et l’</w:t>
      </w:r>
      <w:proofErr w:type="spellStart"/>
      <w:r w:rsidR="00EE2639">
        <w:rPr>
          <w:lang w:val="fr-CA"/>
        </w:rPr>
        <w:t>associ</w:t>
      </w:r>
      <w:proofErr w:type="spellEnd"/>
      <w:r w:rsidR="00EE2639">
        <w:rPr>
          <w:lang w:val="fr-FR"/>
        </w:rPr>
        <w:t xml:space="preserve">é(e) </w:t>
      </w:r>
      <w:r w:rsidR="00EE2639">
        <w:rPr>
          <w:lang w:val="fr-CA"/>
        </w:rPr>
        <w:t xml:space="preserve">en égalité des sexes et inclusion sociale, afin de </w:t>
      </w:r>
      <w:r w:rsidRPr="00074E88">
        <w:rPr>
          <w:lang w:val="fr-CA"/>
        </w:rPr>
        <w:t>renforcer leur capacité à poursuivre la mise en œuvre de ces méthodologies tout au long du projet</w:t>
      </w:r>
      <w:r w:rsidR="00EE2639">
        <w:rPr>
          <w:lang w:val="fr-CA"/>
        </w:rPr>
        <w:t xml:space="preserve"> et dans d’autre</w:t>
      </w:r>
      <w:r w:rsidR="008671F7">
        <w:rPr>
          <w:lang w:val="fr-CA"/>
        </w:rPr>
        <w:t>s</w:t>
      </w:r>
      <w:r w:rsidR="00EE2639">
        <w:rPr>
          <w:lang w:val="fr-CA"/>
        </w:rPr>
        <w:t xml:space="preserve"> communes cibles.</w:t>
      </w:r>
      <w:r w:rsidRPr="00074E88">
        <w:rPr>
          <w:lang w:val="fr-CA"/>
        </w:rPr>
        <w:t xml:space="preserve"> Les activités entreprises dans le cadre de cette consultation </w:t>
      </w:r>
      <w:r w:rsidR="008E408B" w:rsidRPr="00074E88">
        <w:rPr>
          <w:lang w:val="fr-CA"/>
        </w:rPr>
        <w:t>devr</w:t>
      </w:r>
      <w:r w:rsidR="008E408B">
        <w:rPr>
          <w:lang w:val="fr-CA"/>
        </w:rPr>
        <w:t>o</w:t>
      </w:r>
      <w:r w:rsidR="008E408B" w:rsidRPr="00074E88">
        <w:rPr>
          <w:lang w:val="fr-CA"/>
        </w:rPr>
        <w:t xml:space="preserve">nt </w:t>
      </w:r>
      <w:r w:rsidRPr="00074E88">
        <w:rPr>
          <w:lang w:val="fr-CA"/>
        </w:rPr>
        <w:t>s'aligner sur toutes les autres activités prévues dans le cadre du projet et être complémentaires à celles-ci.</w:t>
      </w:r>
    </w:p>
    <w:p w14:paraId="1B721D34" w14:textId="77777777" w:rsidR="004D3567" w:rsidRPr="00452915" w:rsidRDefault="00DE456B" w:rsidP="00DE456B">
      <w:pPr>
        <w:pStyle w:val="Heading3"/>
        <w:numPr>
          <w:ilvl w:val="0"/>
          <w:numId w:val="19"/>
        </w:numPr>
        <w:rPr>
          <w:lang w:val="fr-CA"/>
        </w:rPr>
      </w:pPr>
      <w:r>
        <w:rPr>
          <w:lang w:val="fr-CA"/>
        </w:rPr>
        <w:t>SPÉCIFICATION DES TÂCHES</w:t>
      </w:r>
    </w:p>
    <w:p w14:paraId="03D70D37" w14:textId="747AD3C8" w:rsidR="00647597" w:rsidRPr="00C57783" w:rsidRDefault="00901F7A" w:rsidP="00C57783">
      <w:pPr>
        <w:pStyle w:val="ListParagraph"/>
        <w:numPr>
          <w:ilvl w:val="0"/>
          <w:numId w:val="42"/>
        </w:numPr>
        <w:rPr>
          <w:lang w:val="fr-CA"/>
        </w:rPr>
      </w:pPr>
      <w:r w:rsidRPr="00C57783">
        <w:rPr>
          <w:lang w:val="fr-CA"/>
        </w:rPr>
        <w:t>Outiller le personnel du</w:t>
      </w:r>
      <w:r w:rsidR="00BE4F6D" w:rsidRPr="00C57783">
        <w:rPr>
          <w:lang w:val="fr-CA"/>
        </w:rPr>
        <w:t xml:space="preserve"> P</w:t>
      </w:r>
      <w:r w:rsidRPr="00C57783">
        <w:rPr>
          <w:lang w:val="fr-CA"/>
        </w:rPr>
        <w:t xml:space="preserve">rojet de relèvement post-catastrophe afin </w:t>
      </w:r>
      <w:r w:rsidR="00E07003">
        <w:rPr>
          <w:lang w:val="fr-CA"/>
        </w:rPr>
        <w:t xml:space="preserve">de mettre en </w:t>
      </w:r>
      <w:r w:rsidR="00DA6294">
        <w:rPr>
          <w:lang w:val="fr-CA"/>
        </w:rPr>
        <w:t>œuvre</w:t>
      </w:r>
      <w:r w:rsidR="00E07003" w:rsidRPr="00C57783">
        <w:rPr>
          <w:lang w:val="fr-CA"/>
        </w:rPr>
        <w:t xml:space="preserve"> </w:t>
      </w:r>
      <w:r w:rsidRPr="00C57783">
        <w:rPr>
          <w:lang w:val="fr-CA"/>
        </w:rPr>
        <w:t xml:space="preserve">efficacement des approches inclusives, sensibles au genre et communautaires, à travers leur travail </w:t>
      </w:r>
      <w:r w:rsidR="007A022A" w:rsidRPr="00C57783">
        <w:rPr>
          <w:lang w:val="fr-CA"/>
        </w:rPr>
        <w:t>;</w:t>
      </w:r>
    </w:p>
    <w:p w14:paraId="6C22A8BB" w14:textId="271B92D3" w:rsidR="00575410" w:rsidRPr="00C57783" w:rsidRDefault="00647597" w:rsidP="00C57783">
      <w:pPr>
        <w:pStyle w:val="ListParagraph"/>
        <w:numPr>
          <w:ilvl w:val="0"/>
          <w:numId w:val="42"/>
        </w:numPr>
        <w:rPr>
          <w:lang w:val="fr-CA"/>
        </w:rPr>
      </w:pPr>
      <w:r w:rsidRPr="00C57783">
        <w:rPr>
          <w:lang w:val="fr-CA"/>
        </w:rPr>
        <w:t>Organiser et faciliter des activités de sensibilisation et de renforcement des capacités en matière de processus de planification du développement communautaire inclusif et participatif</w:t>
      </w:r>
      <w:r w:rsidR="00C17CF0" w:rsidRPr="00C57783">
        <w:rPr>
          <w:lang w:val="fr-CA"/>
        </w:rPr>
        <w:t xml:space="preserve"> avec des sections communales </w:t>
      </w:r>
      <w:r w:rsidR="00FB6574" w:rsidRPr="00C57783">
        <w:rPr>
          <w:lang w:val="fr-CA"/>
        </w:rPr>
        <w:t>via leur</w:t>
      </w:r>
      <w:r w:rsidR="005B5026" w:rsidRPr="00C57783">
        <w:rPr>
          <w:lang w:val="fr-CA"/>
        </w:rPr>
        <w:t>s</w:t>
      </w:r>
      <w:r w:rsidR="00FB6574" w:rsidRPr="00C57783">
        <w:rPr>
          <w:lang w:val="fr-CA"/>
        </w:rPr>
        <w:t xml:space="preserve"> </w:t>
      </w:r>
      <w:r w:rsidR="005B5026" w:rsidRPr="00C57783">
        <w:rPr>
          <w:lang w:val="fr-CA"/>
        </w:rPr>
        <w:t>mairies, ASEC</w:t>
      </w:r>
      <w:r w:rsidR="00F21AF9">
        <w:rPr>
          <w:lang w:val="fr-CA"/>
        </w:rPr>
        <w:t xml:space="preserve">, </w:t>
      </w:r>
      <w:r w:rsidR="005B5026" w:rsidRPr="00C57783">
        <w:rPr>
          <w:lang w:val="fr-CA"/>
        </w:rPr>
        <w:t>CASEC</w:t>
      </w:r>
      <w:r w:rsidR="00FB6574" w:rsidRPr="00C57783">
        <w:rPr>
          <w:lang w:val="fr-CA"/>
        </w:rPr>
        <w:t xml:space="preserve"> </w:t>
      </w:r>
      <w:r w:rsidR="00F21AF9">
        <w:rPr>
          <w:lang w:val="fr-CA"/>
        </w:rPr>
        <w:t>et/ou délégués de ville (</w:t>
      </w:r>
      <w:r w:rsidR="00F21AF9" w:rsidRPr="00FD337F">
        <w:rPr>
          <w:lang w:val="fr-FR"/>
        </w:rPr>
        <w:t xml:space="preserve">en </w:t>
      </w:r>
      <w:r w:rsidR="00AF6724" w:rsidRPr="00FD337F">
        <w:rPr>
          <w:lang w:val="fr-FR"/>
        </w:rPr>
        <w:t>f</w:t>
      </w:r>
      <w:r w:rsidR="00AF6724">
        <w:rPr>
          <w:lang w:val="fr-FR"/>
        </w:rPr>
        <w:t>o</w:t>
      </w:r>
      <w:r w:rsidR="00AF6724" w:rsidRPr="00FD337F">
        <w:rPr>
          <w:lang w:val="fr-FR"/>
        </w:rPr>
        <w:t xml:space="preserve">nction </w:t>
      </w:r>
      <w:r w:rsidR="00F21AF9" w:rsidRPr="00FD337F">
        <w:rPr>
          <w:lang w:val="fr-FR"/>
        </w:rPr>
        <w:t xml:space="preserve">de la structure de commune </w:t>
      </w:r>
      <w:r w:rsidR="00FB6574" w:rsidRPr="00C57783">
        <w:rPr>
          <w:lang w:val="fr-CA"/>
        </w:rPr>
        <w:t xml:space="preserve">; </w:t>
      </w:r>
    </w:p>
    <w:p w14:paraId="08AFFF27" w14:textId="71572181" w:rsidR="00C17CF0" w:rsidRPr="00C57783" w:rsidRDefault="00663A93" w:rsidP="00C57783">
      <w:pPr>
        <w:pStyle w:val="ListParagraph"/>
        <w:numPr>
          <w:ilvl w:val="0"/>
          <w:numId w:val="42"/>
        </w:numPr>
        <w:rPr>
          <w:lang w:val="fr-CA"/>
        </w:rPr>
      </w:pPr>
      <w:r w:rsidRPr="00C57783">
        <w:rPr>
          <w:lang w:val="fr-CA"/>
        </w:rPr>
        <w:t xml:space="preserve">Organiser et faciliter des activités de sensibilisation et de renforcement des capacités en matière de processus de planification de contingence communautaire inclusifs et participatifs avec des </w:t>
      </w:r>
      <w:r w:rsidR="0019332F">
        <w:rPr>
          <w:lang w:val="fr-CA"/>
        </w:rPr>
        <w:t>centres</w:t>
      </w:r>
      <w:r w:rsidR="009B68F6">
        <w:rPr>
          <w:lang w:val="fr-CA"/>
        </w:rPr>
        <w:t xml:space="preserve"> </w:t>
      </w:r>
      <w:r w:rsidRPr="00C57783">
        <w:rPr>
          <w:lang w:val="fr-CA"/>
        </w:rPr>
        <w:t>décentralisées du Système national de gestion des risq</w:t>
      </w:r>
      <w:r w:rsidR="00FB6574" w:rsidRPr="00C57783">
        <w:rPr>
          <w:lang w:val="fr-CA"/>
        </w:rPr>
        <w:t xml:space="preserve">ues </w:t>
      </w:r>
      <w:r w:rsidR="001F2401">
        <w:rPr>
          <w:lang w:val="fr-CA"/>
        </w:rPr>
        <w:t xml:space="preserve">et </w:t>
      </w:r>
      <w:r w:rsidR="00FB6574" w:rsidRPr="00C57783">
        <w:rPr>
          <w:lang w:val="fr-CA"/>
        </w:rPr>
        <w:t>de</w:t>
      </w:r>
      <w:r w:rsidR="001F2401">
        <w:rPr>
          <w:lang w:val="fr-CA"/>
        </w:rPr>
        <w:t>s</w:t>
      </w:r>
      <w:r w:rsidR="00FB6574" w:rsidRPr="00C57783">
        <w:rPr>
          <w:lang w:val="fr-CA"/>
        </w:rPr>
        <w:t xml:space="preserve"> catastrophe (</w:t>
      </w:r>
      <w:r w:rsidR="00AA0F7F" w:rsidRPr="00C57783">
        <w:rPr>
          <w:lang w:val="fr-CA"/>
        </w:rPr>
        <w:t xml:space="preserve">Centres d’opérations d’urgence aux niveaux communal et départemental) </w:t>
      </w:r>
      <w:r w:rsidR="00FB6574" w:rsidRPr="00C57783">
        <w:rPr>
          <w:lang w:val="fr-CA"/>
        </w:rPr>
        <w:t>;</w:t>
      </w:r>
    </w:p>
    <w:p w14:paraId="62DC4053" w14:textId="77777777" w:rsidR="00663A93" w:rsidRPr="00C57783" w:rsidRDefault="00FB6574" w:rsidP="00C57783">
      <w:pPr>
        <w:pStyle w:val="ListParagraph"/>
        <w:numPr>
          <w:ilvl w:val="0"/>
          <w:numId w:val="42"/>
        </w:numPr>
        <w:rPr>
          <w:lang w:val="fr-CA"/>
        </w:rPr>
      </w:pPr>
      <w:r w:rsidRPr="00C57783">
        <w:rPr>
          <w:lang w:val="fr-CA"/>
        </w:rPr>
        <w:t>Faciliter les activités d'engagement communautaire pour améliorer les connaissances et la compréhension des processus de planification du rétablissement et de la résilience et susciter l'intérêt pour la participation communautaire en ciblant des groupes de femmes, de jeunes et de personnes handicapées ;</w:t>
      </w:r>
    </w:p>
    <w:p w14:paraId="369CA318" w14:textId="77777777" w:rsidR="00FB6574" w:rsidRPr="00C57783" w:rsidRDefault="005405C8" w:rsidP="00C57783">
      <w:pPr>
        <w:pStyle w:val="ListParagraph"/>
        <w:numPr>
          <w:ilvl w:val="0"/>
          <w:numId w:val="42"/>
        </w:numPr>
        <w:rPr>
          <w:lang w:val="fr-CA"/>
        </w:rPr>
      </w:pPr>
      <w:r w:rsidRPr="00C57783">
        <w:rPr>
          <w:lang w:val="fr-CA"/>
        </w:rPr>
        <w:t xml:space="preserve">Mener des activités de cartographie et d'évaluation des capacités des organisations communautaires </w:t>
      </w:r>
      <w:r w:rsidR="00AA0F7F" w:rsidRPr="00C57783">
        <w:rPr>
          <w:lang w:val="fr-CA"/>
        </w:rPr>
        <w:t xml:space="preserve">de base (OCB) </w:t>
      </w:r>
      <w:r w:rsidRPr="00C57783">
        <w:rPr>
          <w:lang w:val="fr-CA"/>
        </w:rPr>
        <w:t xml:space="preserve">dans les communes cibles afin de proposer la formulation de groupes consultatifs d'experts de la société civile pour accompagner les processus de planification ; </w:t>
      </w:r>
    </w:p>
    <w:p w14:paraId="32299B9F" w14:textId="77777777" w:rsidR="008D5282" w:rsidRPr="00C57783" w:rsidRDefault="00AA0F7F" w:rsidP="00C57783">
      <w:pPr>
        <w:pStyle w:val="ListParagraph"/>
        <w:numPr>
          <w:ilvl w:val="0"/>
          <w:numId w:val="42"/>
        </w:numPr>
        <w:rPr>
          <w:lang w:val="fr-CA"/>
        </w:rPr>
      </w:pPr>
      <w:r w:rsidRPr="00C57783">
        <w:rPr>
          <w:lang w:val="fr-CA"/>
        </w:rPr>
        <w:t>Former les OCB sélectionné</w:t>
      </w:r>
      <w:r w:rsidR="00662F9D">
        <w:rPr>
          <w:lang w:val="fr-CA"/>
        </w:rPr>
        <w:t>e</w:t>
      </w:r>
      <w:r w:rsidRPr="00C57783">
        <w:rPr>
          <w:lang w:val="fr-CA"/>
        </w:rPr>
        <w:t xml:space="preserve">s pour participer efficacement et influencer de manière significative les processus de planification de la récupération et de la résilience des communautés (y compris, par exemple, par la formation au leadership, l'organisation et la présentation des propositions, </w:t>
      </w:r>
      <w:r w:rsidR="00752BBF" w:rsidRPr="00C57783">
        <w:rPr>
          <w:lang w:val="fr-CA"/>
        </w:rPr>
        <w:t xml:space="preserve">la prise de parole en public, </w:t>
      </w:r>
      <w:r w:rsidRPr="00C57783">
        <w:rPr>
          <w:lang w:val="fr-CA"/>
        </w:rPr>
        <w:t>les techniques de négociation</w:t>
      </w:r>
      <w:r w:rsidR="00752BBF" w:rsidRPr="00C57783">
        <w:rPr>
          <w:lang w:val="fr-CA"/>
        </w:rPr>
        <w:t>, etc.</w:t>
      </w:r>
      <w:r w:rsidRPr="00C57783">
        <w:rPr>
          <w:lang w:val="fr-CA"/>
        </w:rPr>
        <w:t>).</w:t>
      </w:r>
    </w:p>
    <w:p w14:paraId="0143FCAE" w14:textId="77777777" w:rsidR="0058607E" w:rsidRDefault="0058607E" w:rsidP="0058607E">
      <w:pPr>
        <w:pStyle w:val="Heading3"/>
        <w:numPr>
          <w:ilvl w:val="0"/>
          <w:numId w:val="19"/>
        </w:numPr>
      </w:pPr>
      <w:r>
        <w:t>PRODUITS ATTENDUS ET LIVRABLES</w:t>
      </w:r>
    </w:p>
    <w:p w14:paraId="2841517D" w14:textId="36AD434E" w:rsidR="00C60D3C" w:rsidRPr="00E8697D" w:rsidRDefault="003216C5" w:rsidP="00C57783">
      <w:pPr>
        <w:rPr>
          <w:lang w:val="fr-FR"/>
        </w:rPr>
      </w:pPr>
      <w:r w:rsidRPr="00E8697D">
        <w:rPr>
          <w:lang w:val="fr-FR"/>
        </w:rPr>
        <w:t>Sur la base de la description de</w:t>
      </w:r>
      <w:r w:rsidR="005E4AAD">
        <w:rPr>
          <w:lang w:val="fr-FR"/>
        </w:rPr>
        <w:t>s</w:t>
      </w:r>
      <w:r w:rsidRPr="00E8697D">
        <w:rPr>
          <w:lang w:val="fr-FR"/>
        </w:rPr>
        <w:t xml:space="preserve"> t</w:t>
      </w:r>
      <w:r w:rsidR="00662F9D">
        <w:rPr>
          <w:lang w:val="fr-FR"/>
        </w:rPr>
        <w:t>â</w:t>
      </w:r>
      <w:r w:rsidRPr="00E8697D">
        <w:rPr>
          <w:lang w:val="fr-FR"/>
        </w:rPr>
        <w:t>ches présentée</w:t>
      </w:r>
      <w:r w:rsidR="006D5C87">
        <w:rPr>
          <w:lang w:val="fr-FR"/>
        </w:rPr>
        <w:t>s</w:t>
      </w:r>
      <w:r w:rsidRPr="00E8697D">
        <w:rPr>
          <w:lang w:val="fr-FR"/>
        </w:rPr>
        <w:t xml:space="preserve"> ci-dessus, </w:t>
      </w:r>
      <w:r w:rsidR="00167662" w:rsidRPr="00E8697D">
        <w:rPr>
          <w:lang w:val="fr-FR"/>
        </w:rPr>
        <w:t>la firme</w:t>
      </w:r>
      <w:r w:rsidRPr="00E8697D">
        <w:rPr>
          <w:lang w:val="fr-FR"/>
        </w:rPr>
        <w:t xml:space="preserve"> doit</w:t>
      </w:r>
      <w:r w:rsidR="00167662" w:rsidRPr="00E8697D">
        <w:rPr>
          <w:lang w:val="fr-FR"/>
        </w:rPr>
        <w:t xml:space="preserve"> </w:t>
      </w:r>
      <w:r w:rsidR="006D5C87">
        <w:rPr>
          <w:lang w:val="fr-FR"/>
        </w:rPr>
        <w:t>fournir</w:t>
      </w:r>
      <w:r w:rsidR="006D5C87" w:rsidRPr="00E8697D">
        <w:rPr>
          <w:lang w:val="fr-FR"/>
        </w:rPr>
        <w:t xml:space="preserve"> </w:t>
      </w:r>
      <w:r w:rsidR="00167662" w:rsidRPr="00E8697D">
        <w:rPr>
          <w:lang w:val="fr-FR"/>
        </w:rPr>
        <w:t xml:space="preserve">les livrables suivants </w:t>
      </w:r>
      <w:r w:rsidRPr="00E8697D">
        <w:rPr>
          <w:lang w:val="fr-FR"/>
        </w:rPr>
        <w:t xml:space="preserve">: </w:t>
      </w:r>
    </w:p>
    <w:p w14:paraId="6CDFFDAD" w14:textId="77777777" w:rsidR="002551F9" w:rsidRPr="00C57783" w:rsidRDefault="003216C5" w:rsidP="005563A8">
      <w:pPr>
        <w:pStyle w:val="ListParagraph"/>
        <w:numPr>
          <w:ilvl w:val="0"/>
          <w:numId w:val="44"/>
        </w:numPr>
        <w:rPr>
          <w:lang w:val="fr-FR"/>
        </w:rPr>
      </w:pPr>
      <w:r w:rsidRPr="00C57783">
        <w:rPr>
          <w:lang w:val="fr-FR"/>
        </w:rPr>
        <w:t>Rapport de démarrage, avec un plan de travail déta</w:t>
      </w:r>
      <w:r w:rsidR="002551F9" w:rsidRPr="00C57783">
        <w:rPr>
          <w:lang w:val="fr-FR"/>
        </w:rPr>
        <w:t xml:space="preserve">illé/méthodologie </w:t>
      </w:r>
      <w:r w:rsidRPr="00C57783">
        <w:rPr>
          <w:lang w:val="fr-FR"/>
        </w:rPr>
        <w:t>;</w:t>
      </w:r>
    </w:p>
    <w:p w14:paraId="6813D64F" w14:textId="77777777" w:rsidR="002551F9" w:rsidRPr="00C57783" w:rsidRDefault="002551F9" w:rsidP="005563A8">
      <w:pPr>
        <w:pStyle w:val="ListParagraph"/>
        <w:numPr>
          <w:ilvl w:val="0"/>
          <w:numId w:val="44"/>
        </w:numPr>
        <w:rPr>
          <w:lang w:val="fr-FR"/>
        </w:rPr>
      </w:pPr>
      <w:r w:rsidRPr="00C57783">
        <w:rPr>
          <w:lang w:val="fr-FR"/>
        </w:rPr>
        <w:t>Une cartographie des OCB pour chacune des quatre communes cibles</w:t>
      </w:r>
      <w:r w:rsidR="003B6861" w:rsidRPr="00C57783">
        <w:rPr>
          <w:lang w:val="fr-FR"/>
        </w:rPr>
        <w:t xml:space="preserve">, avec des propositions pour </w:t>
      </w:r>
      <w:r w:rsidR="00E93B57" w:rsidRPr="00C57783">
        <w:rPr>
          <w:lang w:val="fr-FR"/>
        </w:rPr>
        <w:t>la formation de groupes consultatifs de la société civile pour a</w:t>
      </w:r>
      <w:r w:rsidR="00B63E60" w:rsidRPr="00C57783">
        <w:rPr>
          <w:lang w:val="fr-FR"/>
        </w:rPr>
        <w:t>ppuyer</w:t>
      </w:r>
      <w:r w:rsidR="00E93B57" w:rsidRPr="00C57783">
        <w:rPr>
          <w:lang w:val="fr-FR"/>
        </w:rPr>
        <w:t xml:space="preserve"> les processus de</w:t>
      </w:r>
      <w:r w:rsidR="00FA55E9" w:rsidRPr="00C57783">
        <w:rPr>
          <w:lang w:val="fr-FR"/>
        </w:rPr>
        <w:t>s</w:t>
      </w:r>
      <w:r w:rsidR="00E93B57" w:rsidRPr="00C57783">
        <w:rPr>
          <w:lang w:val="fr-FR"/>
        </w:rPr>
        <w:t xml:space="preserve"> </w:t>
      </w:r>
      <w:r w:rsidR="00FA55E9" w:rsidRPr="00C57783">
        <w:rPr>
          <w:lang w:val="fr-FR"/>
        </w:rPr>
        <w:t>PCD et des PCM;</w:t>
      </w:r>
    </w:p>
    <w:p w14:paraId="5C11920E" w14:textId="2363A10F" w:rsidR="002551F9" w:rsidRPr="00C57783" w:rsidRDefault="0077506D" w:rsidP="005563A8">
      <w:pPr>
        <w:pStyle w:val="ListParagraph"/>
        <w:numPr>
          <w:ilvl w:val="0"/>
          <w:numId w:val="44"/>
        </w:numPr>
        <w:rPr>
          <w:lang w:val="fr-FR"/>
        </w:rPr>
      </w:pPr>
      <w:r w:rsidRPr="00C57783">
        <w:rPr>
          <w:rFonts w:eastAsia="Times New Roman" w:cs="Times New Roman"/>
          <w:lang w:val="fr-CA"/>
        </w:rPr>
        <w:t xml:space="preserve">Pour chacune des quatre communes cibles, un rapport </w:t>
      </w:r>
      <w:r w:rsidR="002551F9" w:rsidRPr="00C57783">
        <w:rPr>
          <w:rFonts w:eastAsia="Times New Roman" w:cs="Times New Roman"/>
          <w:lang w:val="fr-CA"/>
        </w:rPr>
        <w:t>d'activités entreprises</w:t>
      </w:r>
      <w:r w:rsidR="0072742E">
        <w:rPr>
          <w:rFonts w:eastAsia="Times New Roman" w:cs="Times New Roman"/>
          <w:lang w:val="fr-CA"/>
        </w:rPr>
        <w:t xml:space="preserve"> sur les activités réalisées</w:t>
      </w:r>
      <w:r w:rsidR="009B68F6">
        <w:rPr>
          <w:rFonts w:eastAsia="Times New Roman" w:cs="Times New Roman"/>
          <w:lang w:val="fr-CA"/>
        </w:rPr>
        <w:t>,</w:t>
      </w:r>
      <w:r w:rsidR="002551F9" w:rsidRPr="00C57783">
        <w:rPr>
          <w:rFonts w:eastAsia="Times New Roman" w:cs="Times New Roman"/>
          <w:lang w:val="fr-CA"/>
        </w:rPr>
        <w:t xml:space="preserve"> y compris </w:t>
      </w:r>
      <w:r w:rsidR="00E8697D" w:rsidRPr="00C57783">
        <w:rPr>
          <w:rFonts w:eastAsia="Times New Roman" w:cs="Times New Roman"/>
          <w:lang w:val="fr-CA"/>
        </w:rPr>
        <w:t xml:space="preserve">la liste et les coordonnées des participants, </w:t>
      </w:r>
      <w:r w:rsidR="002551F9" w:rsidRPr="00C57783">
        <w:rPr>
          <w:rFonts w:eastAsia="Times New Roman" w:cs="Times New Roman"/>
          <w:lang w:val="fr-CA"/>
        </w:rPr>
        <w:t>les résultats</w:t>
      </w:r>
      <w:r w:rsidRPr="00C57783">
        <w:rPr>
          <w:rFonts w:eastAsia="Times New Roman" w:cs="Times New Roman"/>
          <w:lang w:val="fr-CA"/>
        </w:rPr>
        <w:t xml:space="preserve"> des activités</w:t>
      </w:r>
      <w:r w:rsidR="002551F9" w:rsidRPr="00C57783">
        <w:rPr>
          <w:rFonts w:eastAsia="Times New Roman" w:cs="Times New Roman"/>
          <w:lang w:val="fr-CA"/>
        </w:rPr>
        <w:t xml:space="preserve"> et les recommandations </w:t>
      </w:r>
      <w:r w:rsidR="00E8697D" w:rsidRPr="00C57783">
        <w:rPr>
          <w:rFonts w:eastAsia="Times New Roman" w:cs="Times New Roman"/>
          <w:lang w:val="fr-CA"/>
        </w:rPr>
        <w:t>à suivre</w:t>
      </w:r>
      <w:r w:rsidR="002551F9" w:rsidRPr="00C57783">
        <w:rPr>
          <w:rFonts w:eastAsia="Times New Roman" w:cs="Times New Roman"/>
          <w:lang w:val="fr-CA"/>
        </w:rPr>
        <w:t xml:space="preserve"> </w:t>
      </w:r>
      <w:r w:rsidRPr="00C57783">
        <w:rPr>
          <w:rFonts w:eastAsia="Times New Roman" w:cs="Times New Roman"/>
          <w:lang w:val="fr-CA"/>
        </w:rPr>
        <w:t xml:space="preserve">(total de quatre </w:t>
      </w:r>
      <w:r w:rsidR="002551F9" w:rsidRPr="00C57783">
        <w:rPr>
          <w:rFonts w:eastAsia="Times New Roman" w:cs="Times New Roman"/>
          <w:lang w:val="fr-CA"/>
        </w:rPr>
        <w:t>rapports</w:t>
      </w:r>
      <w:r w:rsidRPr="00C57783">
        <w:rPr>
          <w:rFonts w:eastAsia="Times New Roman" w:cs="Times New Roman"/>
          <w:lang w:val="fr-CA"/>
        </w:rPr>
        <w:t>)</w:t>
      </w:r>
      <w:r w:rsidR="002551F9" w:rsidRPr="00C57783">
        <w:rPr>
          <w:rFonts w:eastAsia="Times New Roman" w:cs="Times New Roman"/>
          <w:lang w:val="fr-CA"/>
        </w:rPr>
        <w:t xml:space="preserve"> ; </w:t>
      </w:r>
    </w:p>
    <w:p w14:paraId="291CF882" w14:textId="128339C6" w:rsidR="00C60D3C" w:rsidRPr="000D18C5" w:rsidRDefault="002551F9" w:rsidP="000D18C5">
      <w:pPr>
        <w:pStyle w:val="ListParagraph"/>
        <w:numPr>
          <w:ilvl w:val="0"/>
          <w:numId w:val="44"/>
        </w:numPr>
        <w:rPr>
          <w:lang w:val="fr-FR"/>
        </w:rPr>
      </w:pPr>
      <w:r w:rsidRPr="00C57783">
        <w:rPr>
          <w:rFonts w:eastAsia="Times New Roman" w:cs="Times New Roman"/>
          <w:lang w:val="fr-CA"/>
        </w:rPr>
        <w:t xml:space="preserve">Un rapport final résumant les leçons tirées des activités facilitées </w:t>
      </w:r>
      <w:r w:rsidR="0077506D" w:rsidRPr="00C57783">
        <w:rPr>
          <w:rFonts w:eastAsia="Times New Roman" w:cs="Times New Roman"/>
          <w:lang w:val="fr-CA"/>
        </w:rPr>
        <w:t xml:space="preserve">pour l’approche </w:t>
      </w:r>
      <w:r w:rsidR="00E259DB">
        <w:rPr>
          <w:rFonts w:eastAsia="Times New Roman" w:cs="Times New Roman"/>
          <w:lang w:val="fr-CA"/>
        </w:rPr>
        <w:t>d</w:t>
      </w:r>
      <w:r w:rsidR="0077506D" w:rsidRPr="00C57783">
        <w:rPr>
          <w:rFonts w:eastAsia="Times New Roman" w:cs="Times New Roman"/>
          <w:lang w:val="fr-CA"/>
        </w:rPr>
        <w:t xml:space="preserve">’inclusion du projet, </w:t>
      </w:r>
      <w:r w:rsidRPr="00C57783">
        <w:rPr>
          <w:rFonts w:eastAsia="Times New Roman" w:cs="Times New Roman"/>
          <w:lang w:val="fr-CA"/>
        </w:rPr>
        <w:t xml:space="preserve">et une proposition sur la marche à suivre pour la </w:t>
      </w:r>
      <w:r w:rsidR="0097044B" w:rsidRPr="00C57783">
        <w:rPr>
          <w:rFonts w:eastAsia="Times New Roman" w:cs="Times New Roman"/>
          <w:lang w:val="fr-CA"/>
        </w:rPr>
        <w:t>réplication</w:t>
      </w:r>
      <w:r w:rsidRPr="00C57783">
        <w:rPr>
          <w:rFonts w:eastAsia="Times New Roman" w:cs="Times New Roman"/>
          <w:lang w:val="fr-CA"/>
        </w:rPr>
        <w:t xml:space="preserve"> </w:t>
      </w:r>
      <w:r w:rsidR="0097044B" w:rsidRPr="00C57783">
        <w:rPr>
          <w:rFonts w:eastAsia="Times New Roman" w:cs="Times New Roman"/>
          <w:lang w:val="fr-CA"/>
        </w:rPr>
        <w:t>des activités</w:t>
      </w:r>
      <w:r w:rsidRPr="00C57783">
        <w:rPr>
          <w:rFonts w:eastAsia="Times New Roman" w:cs="Times New Roman"/>
          <w:lang w:val="fr-CA"/>
        </w:rPr>
        <w:t xml:space="preserve"> dans d'autres communes et départements cibles.</w:t>
      </w:r>
    </w:p>
    <w:p w14:paraId="57764966" w14:textId="77777777" w:rsidR="00C60D3C" w:rsidRDefault="003216C5" w:rsidP="00C60D3C">
      <w:pPr>
        <w:pStyle w:val="Heading3"/>
        <w:numPr>
          <w:ilvl w:val="0"/>
          <w:numId w:val="19"/>
        </w:numPr>
        <w:rPr>
          <w:lang w:val="fr-FR"/>
        </w:rPr>
      </w:pPr>
      <w:r>
        <w:rPr>
          <w:lang w:val="fr-FR"/>
        </w:rPr>
        <w:t>DISPOSITIONS D’ORDRE ORGANISATIONNEL</w:t>
      </w:r>
    </w:p>
    <w:p w14:paraId="6FEAB467" w14:textId="548A4ACA" w:rsidR="00277769" w:rsidRPr="001F6EC2" w:rsidRDefault="00277769" w:rsidP="00277769">
      <w:pPr>
        <w:rPr>
          <w:rFonts w:eastAsia="Times New Roman" w:cs="Times New Roman"/>
          <w:lang w:val="fr-CA"/>
        </w:rPr>
      </w:pPr>
      <w:r w:rsidRPr="001F6EC2">
        <w:rPr>
          <w:rFonts w:eastAsia="Times New Roman" w:cs="Times New Roman"/>
          <w:lang w:val="fr-CA"/>
        </w:rPr>
        <w:t xml:space="preserve">Le travail sera </w:t>
      </w:r>
      <w:r w:rsidR="00C67609">
        <w:rPr>
          <w:rFonts w:eastAsia="Times New Roman" w:cs="Times New Roman"/>
          <w:lang w:val="fr-CA"/>
        </w:rPr>
        <w:t xml:space="preserve">placé sous la supervision générale du Chef d'unité Réduction de la pauvreté du PNUD et sera  </w:t>
      </w:r>
      <w:r w:rsidRPr="001F6EC2">
        <w:rPr>
          <w:rFonts w:eastAsia="Times New Roman" w:cs="Times New Roman"/>
          <w:lang w:val="fr-CA"/>
        </w:rPr>
        <w:t>supervisé pa</w:t>
      </w:r>
      <w:r w:rsidR="00FE66A5">
        <w:rPr>
          <w:rFonts w:eastAsia="Times New Roman" w:cs="Times New Roman"/>
          <w:lang w:val="fr-CA"/>
        </w:rPr>
        <w:t xml:space="preserve">r le Coordonnateur du projet, </w:t>
      </w:r>
      <w:r w:rsidRPr="001F6EC2">
        <w:rPr>
          <w:rFonts w:eastAsia="Times New Roman" w:cs="Times New Roman"/>
          <w:lang w:val="fr-CA"/>
        </w:rPr>
        <w:t>le</w:t>
      </w:r>
      <w:r w:rsidR="00FE66A5">
        <w:rPr>
          <w:rFonts w:eastAsia="Times New Roman" w:cs="Times New Roman"/>
          <w:lang w:val="fr-CA"/>
        </w:rPr>
        <w:t xml:space="preserve"> C</w:t>
      </w:r>
      <w:r w:rsidRPr="001F6EC2">
        <w:rPr>
          <w:rFonts w:eastAsia="Times New Roman" w:cs="Times New Roman"/>
          <w:lang w:val="fr-CA"/>
        </w:rPr>
        <w:t>onseiller technique</w:t>
      </w:r>
      <w:r w:rsidR="00C67609">
        <w:rPr>
          <w:rFonts w:eastAsia="Times New Roman" w:cs="Times New Roman"/>
          <w:lang w:val="fr-CA"/>
        </w:rPr>
        <w:t xml:space="preserve"> dans sa gestion courante</w:t>
      </w:r>
      <w:r w:rsidRPr="001F6EC2">
        <w:rPr>
          <w:rFonts w:eastAsia="Times New Roman" w:cs="Times New Roman"/>
          <w:lang w:val="fr-CA"/>
        </w:rPr>
        <w:t>, en collaboration avec le conseiller pour l'égalité des sexes et d'autres experts techniques basés au PNUD-Haïti à Port-au-Prince.</w:t>
      </w:r>
    </w:p>
    <w:p w14:paraId="1A17D845" w14:textId="77777777" w:rsidR="00277769" w:rsidRPr="001F6EC2" w:rsidRDefault="00277769" w:rsidP="00277769">
      <w:pPr>
        <w:rPr>
          <w:rFonts w:eastAsia="Times New Roman" w:cs="Times New Roman"/>
          <w:lang w:val="fr-CA"/>
        </w:rPr>
      </w:pPr>
      <w:r w:rsidRPr="001F6EC2">
        <w:rPr>
          <w:rFonts w:eastAsia="Times New Roman" w:cs="Times New Roman"/>
          <w:lang w:val="fr-CA"/>
        </w:rPr>
        <w:t>Le comité de pilotage du projet se réunit périodiquement pour suivre l'avancement des travaux et prendre les décisions nécessaires.</w:t>
      </w:r>
    </w:p>
    <w:p w14:paraId="1FD0847E" w14:textId="33367CC9" w:rsidR="00277769" w:rsidRPr="001F6EC2" w:rsidRDefault="00277769" w:rsidP="00277769">
      <w:pPr>
        <w:rPr>
          <w:rFonts w:eastAsia="Times New Roman" w:cs="Times New Roman"/>
          <w:lang w:val="fr-CA"/>
        </w:rPr>
      </w:pPr>
      <w:r w:rsidRPr="001F6EC2">
        <w:rPr>
          <w:rFonts w:eastAsia="Times New Roman" w:cs="Times New Roman"/>
          <w:lang w:val="fr-CA"/>
        </w:rPr>
        <w:t>Le bureau du PNUD à Jérémie fournit un soutien logistique pour les visites sur le terrain et les transports locaux</w:t>
      </w:r>
      <w:r w:rsidR="00031BD2">
        <w:rPr>
          <w:rFonts w:eastAsia="Times New Roman" w:cs="Times New Roman"/>
          <w:lang w:val="fr-CA"/>
        </w:rPr>
        <w:t>.</w:t>
      </w:r>
      <w:r w:rsidRPr="001F6EC2">
        <w:rPr>
          <w:rFonts w:eastAsia="Times New Roman" w:cs="Times New Roman"/>
          <w:lang w:val="fr-CA"/>
        </w:rPr>
        <w:t xml:space="preserve">  Le personnel du projet participe aux consultations et aux ateliers des parties prenantes à différents niveaux, le cas échéant.</w:t>
      </w:r>
    </w:p>
    <w:p w14:paraId="1D779CCF" w14:textId="4A60E676" w:rsidR="00277769" w:rsidRDefault="00277769" w:rsidP="00277769">
      <w:pPr>
        <w:rPr>
          <w:rFonts w:eastAsia="Times New Roman" w:cs="Times New Roman"/>
          <w:lang w:val="fr-CA"/>
        </w:rPr>
      </w:pPr>
      <w:r w:rsidRPr="001F6EC2">
        <w:rPr>
          <w:rFonts w:eastAsia="Times New Roman" w:cs="Times New Roman"/>
          <w:lang w:val="fr-CA"/>
        </w:rPr>
        <w:t>La firm</w:t>
      </w:r>
      <w:r w:rsidR="00F97EA6" w:rsidRPr="001F6EC2">
        <w:rPr>
          <w:rFonts w:eastAsia="Times New Roman" w:cs="Times New Roman"/>
          <w:lang w:val="fr-CA"/>
        </w:rPr>
        <w:t>e</w:t>
      </w:r>
      <w:r w:rsidRPr="001F6EC2">
        <w:rPr>
          <w:rFonts w:eastAsia="Times New Roman" w:cs="Times New Roman"/>
          <w:lang w:val="fr-CA"/>
        </w:rPr>
        <w:t xml:space="preserve"> nomme un chef d'équipe qui </w:t>
      </w:r>
      <w:r w:rsidR="00C67609">
        <w:rPr>
          <w:rFonts w:eastAsia="Times New Roman" w:cs="Times New Roman"/>
          <w:lang w:val="fr-CA"/>
        </w:rPr>
        <w:t>sera l'</w:t>
      </w:r>
      <w:r w:rsidRPr="001F6EC2">
        <w:rPr>
          <w:rFonts w:eastAsia="Times New Roman" w:cs="Times New Roman"/>
          <w:lang w:val="fr-CA"/>
        </w:rPr>
        <w:t>interlocuteur du PNUD et du gouv</w:t>
      </w:r>
      <w:r w:rsidRPr="005D01B9">
        <w:rPr>
          <w:rFonts w:eastAsia="Times New Roman" w:cs="Times New Roman"/>
          <w:lang w:val="fr-CA"/>
        </w:rPr>
        <w:t>ernement. L'équipe comprend des spécialistes nationaux qui travaillent en étroite collaboration avec le personnel du PNUD.</w:t>
      </w:r>
    </w:p>
    <w:p w14:paraId="0C90C820" w14:textId="3E069828" w:rsidR="002316F2" w:rsidRPr="002316F2" w:rsidRDefault="002316F2" w:rsidP="002316F2">
      <w:pPr>
        <w:rPr>
          <w:rFonts w:eastAsiaTheme="majorEastAsia" w:cstheme="majorBidi"/>
          <w:lang w:val="fr-FR"/>
        </w:rPr>
      </w:pPr>
      <w:r w:rsidRPr="002316F2">
        <w:rPr>
          <w:rFonts w:eastAsiaTheme="majorEastAsia" w:cstheme="majorBidi"/>
          <w:lang w:val="fr-FR"/>
        </w:rPr>
        <w:t>De préférence, l’équipe de consultants sera constituée :</w:t>
      </w:r>
    </w:p>
    <w:p w14:paraId="295A265A" w14:textId="3B9E2571" w:rsidR="002316F2" w:rsidRDefault="002316F2" w:rsidP="002316F2">
      <w:pPr>
        <w:pStyle w:val="ListParagraph"/>
        <w:numPr>
          <w:ilvl w:val="0"/>
          <w:numId w:val="46"/>
        </w:numPr>
        <w:spacing w:after="0" w:line="240" w:lineRule="auto"/>
        <w:contextualSpacing w:val="0"/>
        <w:jc w:val="both"/>
        <w:rPr>
          <w:rFonts w:eastAsiaTheme="majorEastAsia" w:cstheme="majorBidi"/>
          <w:lang w:val="fr-FR"/>
        </w:rPr>
      </w:pPr>
      <w:r w:rsidRPr="002316F2">
        <w:rPr>
          <w:rFonts w:eastAsiaTheme="majorEastAsia" w:cstheme="majorBidi"/>
          <w:lang w:val="fr-FR"/>
        </w:rPr>
        <w:t xml:space="preserve">D’un </w:t>
      </w:r>
      <w:r w:rsidR="009C2BC9">
        <w:rPr>
          <w:rFonts w:eastAsiaTheme="majorEastAsia" w:cstheme="majorBidi"/>
          <w:lang w:val="fr-FR"/>
        </w:rPr>
        <w:t xml:space="preserve">chef d’équipe </w:t>
      </w:r>
      <w:r w:rsidRPr="002316F2">
        <w:rPr>
          <w:rFonts w:eastAsiaTheme="majorEastAsia" w:cstheme="majorBidi"/>
          <w:lang w:val="fr-FR"/>
        </w:rPr>
        <w:t>;</w:t>
      </w:r>
    </w:p>
    <w:p w14:paraId="6507AD10" w14:textId="7547C59D" w:rsidR="005D01B9" w:rsidRPr="002316F2" w:rsidRDefault="005D01B9" w:rsidP="002316F2">
      <w:pPr>
        <w:pStyle w:val="ListParagraph"/>
        <w:numPr>
          <w:ilvl w:val="0"/>
          <w:numId w:val="46"/>
        </w:numPr>
        <w:spacing w:after="0" w:line="240" w:lineRule="auto"/>
        <w:contextualSpacing w:val="0"/>
        <w:jc w:val="both"/>
        <w:rPr>
          <w:rFonts w:eastAsiaTheme="majorEastAsia" w:cstheme="majorBidi"/>
          <w:lang w:val="fr-FR"/>
        </w:rPr>
      </w:pPr>
      <w:r w:rsidRPr="005D01B9">
        <w:rPr>
          <w:rFonts w:eastAsiaTheme="majorEastAsia" w:cstheme="majorBidi"/>
          <w:lang w:val="fr-FR"/>
        </w:rPr>
        <w:t xml:space="preserve">Des experts </w:t>
      </w:r>
      <w:r>
        <w:rPr>
          <w:rFonts w:eastAsiaTheme="majorEastAsia" w:cstheme="majorBidi"/>
          <w:lang w:val="fr-FR"/>
        </w:rPr>
        <w:t>en</w:t>
      </w:r>
      <w:r w:rsidRPr="005D01B9">
        <w:rPr>
          <w:rFonts w:eastAsiaTheme="majorEastAsia" w:cstheme="majorBidi"/>
          <w:lang w:val="fr-FR"/>
        </w:rPr>
        <w:t xml:space="preserve"> mobilisation communautaire et participation inclusive des citoyens</w:t>
      </w:r>
      <w:r w:rsidRPr="00735EB2">
        <w:rPr>
          <w:rFonts w:eastAsiaTheme="majorEastAsia" w:cstheme="majorBidi"/>
          <w:lang w:val="fr-FR"/>
        </w:rPr>
        <w:t>/ennes</w:t>
      </w:r>
      <w:r w:rsidRPr="005D01B9">
        <w:rPr>
          <w:rFonts w:eastAsiaTheme="majorEastAsia" w:cstheme="majorBidi"/>
          <w:lang w:val="fr-FR"/>
        </w:rPr>
        <w:t xml:space="preserve">, </w:t>
      </w:r>
      <w:r w:rsidR="00B71D5A" w:rsidRPr="00B71D5A">
        <w:rPr>
          <w:rFonts w:eastAsiaTheme="majorEastAsia" w:cstheme="majorBidi"/>
          <w:lang w:val="fr-FR"/>
        </w:rPr>
        <w:t xml:space="preserve">qui doivent démontrer </w:t>
      </w:r>
      <w:r w:rsidR="00C610A7">
        <w:rPr>
          <w:rFonts w:eastAsiaTheme="majorEastAsia" w:cstheme="majorBidi"/>
          <w:lang w:val="fr-FR"/>
        </w:rPr>
        <w:t xml:space="preserve">parmi eux </w:t>
      </w:r>
      <w:r w:rsidR="00B71D5A" w:rsidRPr="00B71D5A">
        <w:rPr>
          <w:rFonts w:eastAsiaTheme="majorEastAsia" w:cstheme="majorBidi"/>
          <w:lang w:val="fr-FR"/>
        </w:rPr>
        <w:t>une expertise avérée dans</w:t>
      </w:r>
      <w:r w:rsidR="00B71D5A">
        <w:rPr>
          <w:rFonts w:eastAsiaTheme="majorEastAsia" w:cstheme="majorBidi"/>
          <w:lang w:val="fr-FR"/>
        </w:rPr>
        <w:t xml:space="preserve"> : </w:t>
      </w:r>
      <w:r>
        <w:rPr>
          <w:rFonts w:eastAsiaTheme="majorEastAsia" w:cstheme="majorBidi"/>
          <w:lang w:val="fr-FR"/>
        </w:rPr>
        <w:t xml:space="preserve"> </w:t>
      </w:r>
    </w:p>
    <w:p w14:paraId="67BC7CE3" w14:textId="0EDC19CD" w:rsidR="009C2BC9" w:rsidRPr="009C2BC9" w:rsidRDefault="00B71D5A" w:rsidP="00B71D5A">
      <w:pPr>
        <w:pStyle w:val="ListParagraph"/>
        <w:numPr>
          <w:ilvl w:val="1"/>
          <w:numId w:val="47"/>
        </w:numPr>
        <w:spacing w:after="0" w:line="240" w:lineRule="auto"/>
        <w:jc w:val="both"/>
        <w:rPr>
          <w:rFonts w:eastAsiaTheme="majorEastAsia" w:cstheme="majorBidi"/>
          <w:lang w:val="fr-FR"/>
        </w:rPr>
      </w:pPr>
      <w:r>
        <w:rPr>
          <w:rFonts w:eastAsiaTheme="majorEastAsia" w:cstheme="majorBidi"/>
          <w:lang w:val="fr-FR"/>
        </w:rPr>
        <w:t>L’engagement</w:t>
      </w:r>
      <w:r w:rsidR="009C2BC9" w:rsidRPr="009C2BC9">
        <w:rPr>
          <w:rFonts w:eastAsiaTheme="majorEastAsia" w:cstheme="majorBidi"/>
          <w:lang w:val="fr-FR"/>
        </w:rPr>
        <w:t xml:space="preserve"> des jeunes</w:t>
      </w:r>
      <w:r w:rsidR="009C2BC9">
        <w:rPr>
          <w:rFonts w:eastAsiaTheme="majorEastAsia" w:cstheme="majorBidi"/>
          <w:lang w:val="fr-FR"/>
        </w:rPr>
        <w:t xml:space="preserve"> ; </w:t>
      </w:r>
    </w:p>
    <w:p w14:paraId="027E236A" w14:textId="455C524B" w:rsidR="002316F2" w:rsidRDefault="00B71D5A" w:rsidP="00B71D5A">
      <w:pPr>
        <w:pStyle w:val="ListParagraph"/>
        <w:numPr>
          <w:ilvl w:val="1"/>
          <w:numId w:val="47"/>
        </w:numPr>
        <w:spacing w:after="0" w:line="240" w:lineRule="auto"/>
        <w:contextualSpacing w:val="0"/>
        <w:jc w:val="both"/>
        <w:rPr>
          <w:rFonts w:eastAsiaTheme="majorEastAsia" w:cstheme="majorBidi"/>
          <w:lang w:val="fr-FR"/>
        </w:rPr>
      </w:pPr>
      <w:r>
        <w:rPr>
          <w:rFonts w:eastAsiaTheme="majorEastAsia" w:cstheme="majorBidi"/>
          <w:lang w:val="fr-FR"/>
        </w:rPr>
        <w:t>L’</w:t>
      </w:r>
      <w:r w:rsidR="009C2BC9" w:rsidRPr="009C2BC9">
        <w:rPr>
          <w:rFonts w:eastAsiaTheme="majorEastAsia" w:cstheme="majorBidi"/>
          <w:lang w:val="fr-FR"/>
        </w:rPr>
        <w:t>égalité des sexes et l'autonomisation des femmes</w:t>
      </w:r>
      <w:r w:rsidR="009C2BC9">
        <w:rPr>
          <w:rFonts w:eastAsiaTheme="majorEastAsia" w:cstheme="majorBidi"/>
          <w:lang w:val="fr-FR"/>
        </w:rPr>
        <w:t xml:space="preserve"> ; </w:t>
      </w:r>
    </w:p>
    <w:p w14:paraId="01CDE30A" w14:textId="6D3B2AFD" w:rsidR="00B71D5A" w:rsidRDefault="00B71D5A" w:rsidP="00B71D5A">
      <w:pPr>
        <w:pStyle w:val="ListParagraph"/>
        <w:numPr>
          <w:ilvl w:val="1"/>
          <w:numId w:val="47"/>
        </w:numPr>
        <w:spacing w:after="0" w:line="240" w:lineRule="auto"/>
        <w:contextualSpacing w:val="0"/>
        <w:jc w:val="both"/>
        <w:rPr>
          <w:rFonts w:eastAsiaTheme="majorEastAsia" w:cstheme="majorBidi"/>
          <w:lang w:val="fr-FR"/>
        </w:rPr>
      </w:pPr>
      <w:r>
        <w:rPr>
          <w:rFonts w:eastAsiaTheme="majorEastAsia" w:cstheme="majorBidi"/>
          <w:lang w:val="fr-FR"/>
        </w:rPr>
        <w:t>L’in</w:t>
      </w:r>
      <w:r w:rsidR="00746D35">
        <w:rPr>
          <w:rFonts w:eastAsiaTheme="majorEastAsia" w:cstheme="majorBidi"/>
          <w:lang w:val="fr-FR"/>
        </w:rPr>
        <w:t>tégration</w:t>
      </w:r>
      <w:r>
        <w:rPr>
          <w:rFonts w:eastAsiaTheme="majorEastAsia" w:cstheme="majorBidi"/>
          <w:lang w:val="fr-FR"/>
        </w:rPr>
        <w:t xml:space="preserve"> des personnes vivant avec un handicap ; </w:t>
      </w:r>
    </w:p>
    <w:p w14:paraId="0CDD95AA" w14:textId="25409D93" w:rsidR="00B71D5A" w:rsidRDefault="00B71D5A" w:rsidP="00B71D5A">
      <w:pPr>
        <w:pStyle w:val="ListParagraph"/>
        <w:numPr>
          <w:ilvl w:val="1"/>
          <w:numId w:val="47"/>
        </w:numPr>
        <w:spacing w:after="0" w:line="240" w:lineRule="auto"/>
        <w:contextualSpacing w:val="0"/>
        <w:jc w:val="both"/>
        <w:rPr>
          <w:rFonts w:eastAsiaTheme="majorEastAsia" w:cstheme="majorBidi"/>
          <w:lang w:val="fr-FR"/>
        </w:rPr>
      </w:pPr>
      <w:r w:rsidRPr="00B71D5A">
        <w:rPr>
          <w:rFonts w:eastAsiaTheme="majorEastAsia" w:cstheme="majorBidi"/>
          <w:lang w:val="fr-FR"/>
        </w:rPr>
        <w:t>Les processus de gouvernance locale, en particuli</w:t>
      </w:r>
      <w:r>
        <w:rPr>
          <w:rFonts w:eastAsiaTheme="majorEastAsia" w:cstheme="majorBidi"/>
          <w:lang w:val="fr-FR"/>
        </w:rPr>
        <w:t xml:space="preserve">er le développement des plans communaux de développement </w:t>
      </w:r>
      <w:r w:rsidRPr="00B71D5A">
        <w:rPr>
          <w:rFonts w:eastAsiaTheme="majorEastAsia" w:cstheme="majorBidi"/>
          <w:lang w:val="fr-FR"/>
        </w:rPr>
        <w:t>;</w:t>
      </w:r>
    </w:p>
    <w:p w14:paraId="3AE9E36C" w14:textId="3092092B" w:rsidR="00B71D5A" w:rsidRDefault="00C610A7" w:rsidP="00B71D5A">
      <w:pPr>
        <w:pStyle w:val="ListParagraph"/>
        <w:numPr>
          <w:ilvl w:val="1"/>
          <w:numId w:val="47"/>
        </w:numPr>
        <w:spacing w:after="0" w:line="240" w:lineRule="auto"/>
        <w:contextualSpacing w:val="0"/>
        <w:jc w:val="both"/>
        <w:rPr>
          <w:rFonts w:eastAsiaTheme="majorEastAsia" w:cstheme="majorBidi"/>
          <w:lang w:val="fr-FR"/>
        </w:rPr>
      </w:pPr>
      <w:r>
        <w:rPr>
          <w:rFonts w:eastAsiaTheme="majorEastAsia" w:cstheme="majorBidi"/>
          <w:lang w:val="fr-FR"/>
        </w:rPr>
        <w:t>Le relèvement</w:t>
      </w:r>
      <w:r w:rsidRPr="00C610A7">
        <w:rPr>
          <w:rFonts w:eastAsiaTheme="majorEastAsia" w:cstheme="majorBidi"/>
          <w:lang w:val="fr-FR"/>
        </w:rPr>
        <w:t xml:space="preserve"> économique et développement au niveau communautaire</w:t>
      </w:r>
      <w:r>
        <w:rPr>
          <w:rFonts w:eastAsiaTheme="majorEastAsia" w:cstheme="majorBidi"/>
          <w:lang w:val="fr-FR"/>
        </w:rPr>
        <w:t> ; et</w:t>
      </w:r>
    </w:p>
    <w:p w14:paraId="5161C071" w14:textId="041D5D7D" w:rsidR="00C610A7" w:rsidRPr="002316F2" w:rsidRDefault="00C610A7" w:rsidP="00B71D5A">
      <w:pPr>
        <w:pStyle w:val="ListParagraph"/>
        <w:numPr>
          <w:ilvl w:val="1"/>
          <w:numId w:val="47"/>
        </w:numPr>
        <w:spacing w:after="0" w:line="240" w:lineRule="auto"/>
        <w:contextualSpacing w:val="0"/>
        <w:jc w:val="both"/>
        <w:rPr>
          <w:rFonts w:eastAsiaTheme="majorEastAsia" w:cstheme="majorBidi"/>
          <w:lang w:val="fr-FR"/>
        </w:rPr>
      </w:pPr>
      <w:r w:rsidRPr="00C610A7">
        <w:rPr>
          <w:rFonts w:eastAsiaTheme="majorEastAsia" w:cstheme="majorBidi"/>
          <w:lang w:val="fr-FR"/>
        </w:rPr>
        <w:t>La gestion des risques de catastrophe et le renforcement</w:t>
      </w:r>
      <w:r>
        <w:rPr>
          <w:rFonts w:eastAsiaTheme="majorEastAsia" w:cstheme="majorBidi"/>
          <w:lang w:val="fr-FR"/>
        </w:rPr>
        <w:t xml:space="preserve"> de la résilience communautaire ;</w:t>
      </w:r>
    </w:p>
    <w:p w14:paraId="335F34BF" w14:textId="4899BBEF" w:rsidR="002316F2" w:rsidRDefault="009C2BC9" w:rsidP="00277769">
      <w:pPr>
        <w:pStyle w:val="ListParagraph"/>
        <w:numPr>
          <w:ilvl w:val="0"/>
          <w:numId w:val="46"/>
        </w:numPr>
        <w:spacing w:after="0" w:line="240" w:lineRule="auto"/>
        <w:jc w:val="both"/>
        <w:rPr>
          <w:rFonts w:eastAsiaTheme="majorEastAsia" w:cstheme="majorBidi"/>
          <w:lang w:val="fr-FR"/>
        </w:rPr>
      </w:pPr>
      <w:r>
        <w:rPr>
          <w:rFonts w:eastAsiaTheme="majorEastAsia" w:cstheme="majorBidi"/>
          <w:lang w:val="fr-FR"/>
        </w:rPr>
        <w:t>D’un</w:t>
      </w:r>
      <w:r w:rsidR="005D01B9">
        <w:rPr>
          <w:rFonts w:eastAsiaTheme="majorEastAsia" w:cstheme="majorBidi"/>
          <w:lang w:val="fr-FR"/>
        </w:rPr>
        <w:t xml:space="preserve"> expert en suivi et évaluation. </w:t>
      </w:r>
    </w:p>
    <w:p w14:paraId="1440D0F1" w14:textId="77777777" w:rsidR="002316F2" w:rsidRPr="005D01B9" w:rsidRDefault="002316F2" w:rsidP="005D01B9">
      <w:pPr>
        <w:spacing w:after="0" w:line="240" w:lineRule="auto"/>
        <w:jc w:val="both"/>
        <w:rPr>
          <w:rFonts w:asciiTheme="majorHAnsi" w:eastAsiaTheme="majorEastAsia" w:hAnsiTheme="majorHAnsi" w:cstheme="majorBidi"/>
          <w:lang w:val="fr-FR"/>
        </w:rPr>
      </w:pPr>
    </w:p>
    <w:p w14:paraId="10C76C2C" w14:textId="77777777" w:rsidR="00C60D3C" w:rsidRPr="004A39F7" w:rsidRDefault="00F97EA6" w:rsidP="00277769">
      <w:pPr>
        <w:rPr>
          <w:lang w:val="fr-CA"/>
        </w:rPr>
      </w:pPr>
      <w:r w:rsidRPr="001F6EC2">
        <w:rPr>
          <w:rFonts w:eastAsia="Times New Roman" w:cs="Times New Roman"/>
          <w:lang w:val="fr-CA"/>
        </w:rPr>
        <w:t>La firme</w:t>
      </w:r>
      <w:r w:rsidR="00277769" w:rsidRPr="001F6EC2">
        <w:rPr>
          <w:rFonts w:eastAsia="Times New Roman" w:cs="Times New Roman"/>
          <w:lang w:val="fr-CA"/>
        </w:rPr>
        <w:t xml:space="preserve"> reste responsable de la qualité des produits livrés. L</w:t>
      </w:r>
      <w:r w:rsidR="004A39F7">
        <w:rPr>
          <w:rFonts w:eastAsia="Times New Roman" w:cs="Times New Roman"/>
          <w:lang w:val="fr-CA"/>
        </w:rPr>
        <w:t xml:space="preserve">a firme </w:t>
      </w:r>
      <w:r w:rsidR="00277769" w:rsidRPr="001F6EC2">
        <w:rPr>
          <w:rFonts w:eastAsia="Times New Roman" w:cs="Times New Roman"/>
          <w:lang w:val="fr-CA"/>
        </w:rPr>
        <w:t>définit la portée et l'étendue du processus consultatif sur le terrain et les méthodes à appliquer, en coopération avec le personnel du PNUD.</w:t>
      </w:r>
    </w:p>
    <w:p w14:paraId="4D8D8596" w14:textId="77777777" w:rsidR="003216C5" w:rsidRPr="003216C5" w:rsidRDefault="003216C5" w:rsidP="003216C5">
      <w:pPr>
        <w:pStyle w:val="Heading3"/>
        <w:numPr>
          <w:ilvl w:val="0"/>
          <w:numId w:val="19"/>
        </w:numPr>
      </w:pPr>
      <w:r>
        <w:t>QUALIFICATIONS REQUISES</w:t>
      </w:r>
    </w:p>
    <w:p w14:paraId="494AAEC6" w14:textId="77777777" w:rsidR="005B48D6" w:rsidRPr="001F6EC2" w:rsidRDefault="005B48D6" w:rsidP="005B48D6">
      <w:p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 xml:space="preserve">La firme doit avoir une équipe de développement de projet disponible dont les membres </w:t>
      </w:r>
      <w:r w:rsidR="004A39F7">
        <w:rPr>
          <w:rFonts w:eastAsia="Times New Roman" w:cs="Times New Roman"/>
          <w:bCs/>
          <w:lang w:val="fr-CA"/>
        </w:rPr>
        <w:t>possèdent</w:t>
      </w:r>
      <w:r w:rsidR="004A39F7" w:rsidRPr="001F6EC2">
        <w:rPr>
          <w:rFonts w:eastAsia="Times New Roman" w:cs="Times New Roman"/>
          <w:bCs/>
          <w:lang w:val="fr-CA"/>
        </w:rPr>
        <w:t xml:space="preserve"> </w:t>
      </w:r>
      <w:r w:rsidRPr="001F6EC2">
        <w:rPr>
          <w:rFonts w:eastAsia="Times New Roman" w:cs="Times New Roman"/>
          <w:bCs/>
          <w:lang w:val="fr-CA"/>
        </w:rPr>
        <w:t>les compétences et expériences suivantes:</w:t>
      </w:r>
    </w:p>
    <w:p w14:paraId="511FAF41" w14:textId="0276142A" w:rsidR="005B48D6"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 xml:space="preserve">Expérience de la mise en œuvre de plans et de programmes de développement axés sur </w:t>
      </w:r>
      <w:r w:rsidR="00135213" w:rsidRPr="001F6EC2">
        <w:rPr>
          <w:rFonts w:eastAsia="Times New Roman" w:cs="Times New Roman"/>
          <w:bCs/>
          <w:lang w:val="fr-CA"/>
        </w:rPr>
        <w:t>l</w:t>
      </w:r>
      <w:r w:rsidR="00135213">
        <w:rPr>
          <w:rFonts w:eastAsia="Times New Roman" w:cs="Times New Roman"/>
          <w:bCs/>
          <w:lang w:val="fr-CA"/>
        </w:rPr>
        <w:t>es</w:t>
      </w:r>
      <w:r w:rsidR="00135213" w:rsidRPr="001F6EC2">
        <w:rPr>
          <w:rFonts w:eastAsia="Times New Roman" w:cs="Times New Roman"/>
          <w:bCs/>
          <w:lang w:val="fr-CA"/>
        </w:rPr>
        <w:t xml:space="preserve"> </w:t>
      </w:r>
      <w:r w:rsidRPr="001F6EC2">
        <w:rPr>
          <w:rFonts w:eastAsia="Times New Roman" w:cs="Times New Roman"/>
          <w:bCs/>
          <w:lang w:val="fr-CA"/>
        </w:rPr>
        <w:t>communauté</w:t>
      </w:r>
      <w:r w:rsidR="00135213">
        <w:rPr>
          <w:rFonts w:eastAsia="Times New Roman" w:cs="Times New Roman"/>
          <w:bCs/>
          <w:lang w:val="fr-CA"/>
        </w:rPr>
        <w:t>s</w:t>
      </w:r>
      <w:r w:rsidRPr="001F6EC2">
        <w:rPr>
          <w:rFonts w:eastAsia="Times New Roman" w:cs="Times New Roman"/>
          <w:bCs/>
          <w:lang w:val="fr-CA"/>
        </w:rPr>
        <w:t xml:space="preserve"> en Haïti ;</w:t>
      </w:r>
    </w:p>
    <w:p w14:paraId="47933BD6" w14:textId="77777777" w:rsidR="005B48D6" w:rsidRPr="001F6EC2" w:rsidRDefault="00DE0CA0"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Pr>
          <w:rFonts w:eastAsia="Times New Roman" w:cs="Times New Roman"/>
          <w:bCs/>
          <w:lang w:val="fr-CA"/>
        </w:rPr>
        <w:t>V</w:t>
      </w:r>
      <w:r w:rsidR="005B48D6" w:rsidRPr="001F6EC2">
        <w:rPr>
          <w:rFonts w:eastAsia="Times New Roman" w:cs="Times New Roman"/>
          <w:bCs/>
          <w:lang w:val="fr-CA"/>
        </w:rPr>
        <w:t xml:space="preserve">aste expérience </w:t>
      </w:r>
      <w:r w:rsidR="00E65B10">
        <w:rPr>
          <w:rFonts w:eastAsia="Times New Roman" w:cs="Times New Roman"/>
          <w:bCs/>
          <w:lang w:val="fr-CA"/>
        </w:rPr>
        <w:t xml:space="preserve">dans la facilitation de </w:t>
      </w:r>
      <w:r w:rsidR="005B48D6" w:rsidRPr="001F6EC2">
        <w:rPr>
          <w:rFonts w:eastAsia="Times New Roman" w:cs="Times New Roman"/>
          <w:bCs/>
          <w:lang w:val="fr-CA"/>
        </w:rPr>
        <w:t>la colla</w:t>
      </w:r>
      <w:r w:rsidR="00E65B10">
        <w:rPr>
          <w:rFonts w:eastAsia="Times New Roman" w:cs="Times New Roman"/>
          <w:bCs/>
          <w:lang w:val="fr-CA"/>
        </w:rPr>
        <w:t>boration entre les OCB</w:t>
      </w:r>
      <w:r w:rsidR="005B48D6" w:rsidRPr="001F6EC2">
        <w:rPr>
          <w:rFonts w:eastAsia="Times New Roman" w:cs="Times New Roman"/>
          <w:bCs/>
          <w:lang w:val="fr-CA"/>
        </w:rPr>
        <w:t xml:space="preserve"> et les représentants des gouvernements locaux en Haïti ;</w:t>
      </w:r>
    </w:p>
    <w:p w14:paraId="766B57CE" w14:textId="77777777" w:rsidR="005B48D6"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Connaissance et expérience avérées des méthodologies participatives, avec un accent particulier sur l'inclusion des groupes marginalisés et défavorisés (c'est-à-dire les femmes, les jeunes, les personnes âgées, les personnes handicapées) ;</w:t>
      </w:r>
    </w:p>
    <w:p w14:paraId="0F147C97" w14:textId="06F033D4" w:rsidR="005B48D6"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 xml:space="preserve">Expérience thématique spécifique dans la cartographie des </w:t>
      </w:r>
      <w:r w:rsidR="000E5ECC">
        <w:rPr>
          <w:rFonts w:eastAsia="Times New Roman" w:cs="Times New Roman"/>
          <w:bCs/>
          <w:lang w:val="fr-CA"/>
        </w:rPr>
        <w:t>OCB</w:t>
      </w:r>
      <w:r w:rsidRPr="001F6EC2">
        <w:rPr>
          <w:rFonts w:eastAsia="Times New Roman" w:cs="Times New Roman"/>
          <w:bCs/>
          <w:lang w:val="fr-CA"/>
        </w:rPr>
        <w:t xml:space="preserve"> et l'organisation de groupes de travail </w:t>
      </w:r>
      <w:r w:rsidR="00EA3AEA">
        <w:rPr>
          <w:rFonts w:eastAsia="Times New Roman" w:cs="Times New Roman"/>
          <w:bCs/>
          <w:lang w:val="fr-CA"/>
        </w:rPr>
        <w:t>avec</w:t>
      </w:r>
      <w:r w:rsidR="00EA3AEA" w:rsidRPr="001F6EC2">
        <w:rPr>
          <w:rFonts w:eastAsia="Times New Roman" w:cs="Times New Roman"/>
          <w:bCs/>
          <w:lang w:val="fr-CA"/>
        </w:rPr>
        <w:t xml:space="preserve"> </w:t>
      </w:r>
      <w:r w:rsidRPr="001F6EC2">
        <w:rPr>
          <w:rFonts w:eastAsia="Times New Roman" w:cs="Times New Roman"/>
          <w:bCs/>
          <w:lang w:val="fr-CA"/>
        </w:rPr>
        <w:t>la société civile ;</w:t>
      </w:r>
    </w:p>
    <w:p w14:paraId="1FFC5EFC" w14:textId="77777777" w:rsidR="005B48D6"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Connaissance et expérience avérées des processus de planification décentralisée en Haïti; la connaissance de la méthodologie pour le développement des plans de développement des communes est un atout ;</w:t>
      </w:r>
    </w:p>
    <w:p w14:paraId="2FD4B0E1" w14:textId="7F31D885" w:rsidR="00DE0CA0"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Expérience d</w:t>
      </w:r>
      <w:r w:rsidR="00DE0CA0">
        <w:rPr>
          <w:rFonts w:eastAsia="Times New Roman" w:cs="Times New Roman"/>
          <w:bCs/>
          <w:lang w:val="fr-CA"/>
        </w:rPr>
        <w:t xml:space="preserve">ans l’appui au renforcement </w:t>
      </w:r>
      <w:r w:rsidRPr="001F6EC2">
        <w:rPr>
          <w:rFonts w:eastAsia="Times New Roman" w:cs="Times New Roman"/>
          <w:bCs/>
          <w:lang w:val="fr-CA"/>
        </w:rPr>
        <w:t>de la résilience communautaire</w:t>
      </w:r>
      <w:r w:rsidR="00EA3AEA">
        <w:rPr>
          <w:rFonts w:eastAsia="Times New Roman" w:cs="Times New Roman"/>
          <w:bCs/>
          <w:lang w:val="fr-CA"/>
        </w:rPr>
        <w:t xml:space="preserve"> </w:t>
      </w:r>
      <w:r w:rsidR="00DE0CA0">
        <w:rPr>
          <w:rFonts w:eastAsia="Times New Roman" w:cs="Times New Roman"/>
          <w:bCs/>
          <w:lang w:val="fr-CA"/>
        </w:rPr>
        <w:t>;</w:t>
      </w:r>
    </w:p>
    <w:p w14:paraId="0D927E95" w14:textId="77777777" w:rsidR="005B48D6" w:rsidRPr="001F6EC2" w:rsidRDefault="00DE0CA0"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Pr>
          <w:rFonts w:eastAsia="Times New Roman" w:cs="Times New Roman"/>
          <w:bCs/>
          <w:lang w:val="fr-CA"/>
        </w:rPr>
        <w:t xml:space="preserve">Expérience dans </w:t>
      </w:r>
      <w:r w:rsidR="005B48D6" w:rsidRPr="001F6EC2">
        <w:rPr>
          <w:rFonts w:eastAsia="Times New Roman" w:cs="Times New Roman"/>
          <w:bCs/>
          <w:lang w:val="fr-CA"/>
        </w:rPr>
        <w:t>la préparation de plans de contingence municipaux est un atout ;</w:t>
      </w:r>
    </w:p>
    <w:p w14:paraId="480EE19C" w14:textId="51BBB0C7" w:rsidR="005B48D6"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 xml:space="preserve">Expérience </w:t>
      </w:r>
      <w:r w:rsidR="00EA3AEA">
        <w:rPr>
          <w:rFonts w:eastAsia="Times New Roman" w:cs="Times New Roman"/>
          <w:bCs/>
          <w:lang w:val="fr-CA"/>
        </w:rPr>
        <w:t xml:space="preserve">confirmée </w:t>
      </w:r>
      <w:r w:rsidRPr="001F6EC2">
        <w:rPr>
          <w:rFonts w:eastAsia="Times New Roman" w:cs="Times New Roman"/>
          <w:bCs/>
          <w:lang w:val="fr-CA"/>
        </w:rPr>
        <w:t>de travail sur les questions d'égalité des sexes et d'autonomisation des femmes ;</w:t>
      </w:r>
    </w:p>
    <w:p w14:paraId="7DF20272" w14:textId="2879AF8A" w:rsidR="005B48D6"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Expérience de travail antérieur</w:t>
      </w:r>
      <w:r w:rsidR="00EA3AEA">
        <w:rPr>
          <w:rFonts w:eastAsia="Times New Roman" w:cs="Times New Roman"/>
          <w:bCs/>
          <w:lang w:val="fr-CA"/>
        </w:rPr>
        <w:t>e</w:t>
      </w:r>
      <w:r w:rsidRPr="001F6EC2">
        <w:rPr>
          <w:rFonts w:eastAsia="Times New Roman" w:cs="Times New Roman"/>
          <w:bCs/>
          <w:lang w:val="fr-CA"/>
        </w:rPr>
        <w:t xml:space="preserve"> avec les agences des Nations Unies est un atout ;</w:t>
      </w:r>
    </w:p>
    <w:p w14:paraId="4854DB61" w14:textId="77777777" w:rsidR="0080055A" w:rsidRPr="001F6EC2" w:rsidRDefault="005B48D6" w:rsidP="005B48D6">
      <w:pPr>
        <w:pStyle w:val="ListParagraph"/>
        <w:numPr>
          <w:ilvl w:val="0"/>
          <w:numId w:val="38"/>
        </w:numPr>
        <w:spacing w:before="100" w:beforeAutospacing="1" w:after="100" w:afterAutospacing="1" w:line="240" w:lineRule="auto"/>
        <w:jc w:val="both"/>
        <w:rPr>
          <w:rFonts w:eastAsia="Times New Roman" w:cs="Times New Roman"/>
          <w:bCs/>
          <w:lang w:val="fr-CA"/>
        </w:rPr>
      </w:pPr>
      <w:r w:rsidRPr="001F6EC2">
        <w:rPr>
          <w:rFonts w:eastAsia="Times New Roman" w:cs="Times New Roman"/>
          <w:bCs/>
          <w:lang w:val="fr-CA"/>
        </w:rPr>
        <w:t>Maitrise du français et du créole écrits et parlés.</w:t>
      </w:r>
    </w:p>
    <w:p w14:paraId="7A70FDC3" w14:textId="77777777" w:rsidR="001F6EC2" w:rsidRPr="00686F93" w:rsidRDefault="001F6EC2" w:rsidP="001F6EC2">
      <w:pPr>
        <w:pStyle w:val="Heading3"/>
        <w:numPr>
          <w:ilvl w:val="0"/>
          <w:numId w:val="19"/>
        </w:numPr>
        <w:rPr>
          <w:lang w:val="fr-FR"/>
        </w:rPr>
      </w:pPr>
      <w:r>
        <w:rPr>
          <w:lang w:val="fr-FR"/>
        </w:rPr>
        <w:t>CRIT</w:t>
      </w:r>
      <w:r w:rsidR="00DE0CA0">
        <w:rPr>
          <w:lang w:val="fr-FR"/>
        </w:rPr>
        <w:t>È</w:t>
      </w:r>
      <w:r>
        <w:rPr>
          <w:lang w:val="fr-FR"/>
        </w:rPr>
        <w:t xml:space="preserve">RES DE </w:t>
      </w:r>
      <w:r w:rsidRPr="00D460C1">
        <w:rPr>
          <w:lang w:val="fr-FR"/>
        </w:rPr>
        <w:t xml:space="preserve">SELECTION </w:t>
      </w:r>
    </w:p>
    <w:p w14:paraId="5BC426C3" w14:textId="77777777" w:rsidR="00686F93" w:rsidRPr="005563A8" w:rsidRDefault="001F6EC2" w:rsidP="00686F93">
      <w:pPr>
        <w:pStyle w:val="Heading5"/>
        <w:rPr>
          <w:b/>
          <w:lang w:val="fr-CA"/>
        </w:rPr>
      </w:pPr>
      <w:r w:rsidRPr="005563A8">
        <w:rPr>
          <w:b/>
          <w:lang w:val="fr-CA"/>
        </w:rPr>
        <w:t>Critères d’attribution du contrat</w:t>
      </w:r>
    </w:p>
    <w:p w14:paraId="0F0FE9AC" w14:textId="756DC558" w:rsidR="001F6EC2" w:rsidRPr="005563A8" w:rsidRDefault="001F6EC2" w:rsidP="005563A8">
      <w:pPr>
        <w:pStyle w:val="ListParagraph"/>
        <w:numPr>
          <w:ilvl w:val="0"/>
          <w:numId w:val="45"/>
        </w:numPr>
        <w:rPr>
          <w:snapToGrid w:val="0"/>
          <w:lang w:val="fr-CA"/>
        </w:rPr>
      </w:pPr>
      <w:r w:rsidRPr="005563A8">
        <w:rPr>
          <w:snapToGrid w:val="0"/>
          <w:lang w:val="fr-CA"/>
        </w:rPr>
        <w:t>Score combiné le plus élevé (</w:t>
      </w:r>
      <w:r w:rsidR="00DE0CA0">
        <w:rPr>
          <w:snapToGrid w:val="0"/>
          <w:lang w:val="fr-CA"/>
        </w:rPr>
        <w:t>la soumission</w:t>
      </w:r>
      <w:r w:rsidR="00DE0CA0" w:rsidRPr="005563A8">
        <w:rPr>
          <w:snapToGrid w:val="0"/>
          <w:lang w:val="fr-CA"/>
        </w:rPr>
        <w:t xml:space="preserve"> </w:t>
      </w:r>
      <w:r w:rsidRPr="005563A8">
        <w:rPr>
          <w:snapToGrid w:val="0"/>
          <w:lang w:val="fr-CA"/>
        </w:rPr>
        <w:t xml:space="preserve">technique comptant pour 70 % et </w:t>
      </w:r>
      <w:r w:rsidR="00735BD2">
        <w:rPr>
          <w:snapToGrid w:val="0"/>
          <w:lang w:val="fr-CA"/>
        </w:rPr>
        <w:t>la soumission financiè</w:t>
      </w:r>
      <w:r w:rsidR="00DE0CA0">
        <w:rPr>
          <w:snapToGrid w:val="0"/>
          <w:lang w:val="fr-CA"/>
        </w:rPr>
        <w:t xml:space="preserve">re </w:t>
      </w:r>
      <w:r w:rsidRPr="005563A8">
        <w:rPr>
          <w:snapToGrid w:val="0"/>
          <w:lang w:val="fr-CA"/>
        </w:rPr>
        <w:t>pour 30 %)</w:t>
      </w:r>
    </w:p>
    <w:p w14:paraId="7084355C" w14:textId="39ACB31F" w:rsidR="001F6EC2" w:rsidRPr="005563A8" w:rsidRDefault="001F6EC2" w:rsidP="005563A8">
      <w:pPr>
        <w:pStyle w:val="ListParagraph"/>
        <w:numPr>
          <w:ilvl w:val="0"/>
          <w:numId w:val="45"/>
        </w:numPr>
        <w:rPr>
          <w:snapToGrid w:val="0"/>
          <w:lang w:val="fr-CA"/>
        </w:rPr>
      </w:pPr>
      <w:r w:rsidRPr="005563A8">
        <w:rPr>
          <w:lang w:val="fr-CA"/>
        </w:rPr>
        <w:t>Acceptation sans réserve des conditions gén</w:t>
      </w:r>
      <w:r w:rsidR="00943743">
        <w:rPr>
          <w:lang w:val="fr-CA"/>
        </w:rPr>
        <w:t>érales du contrat du PNUD</w:t>
      </w:r>
      <w:r w:rsidRPr="005563A8">
        <w:rPr>
          <w:lang w:val="fr-CA"/>
        </w:rPr>
        <w:t>. Il s’agit d’un critère obligatoire qui ne peut pas être supprimé, quelle que soit la nature des services demandés. La non-acceptation des CGC peut constituer un motif de rejet de la soumission.</w:t>
      </w:r>
    </w:p>
    <w:p w14:paraId="1B000E60" w14:textId="77777777" w:rsidR="001F6EC2" w:rsidRPr="005563A8" w:rsidRDefault="001F6EC2" w:rsidP="00686F93">
      <w:pPr>
        <w:pStyle w:val="Heading5"/>
        <w:rPr>
          <w:b/>
          <w:i/>
          <w:sz w:val="24"/>
          <w:szCs w:val="24"/>
          <w:lang w:val="fr-CA"/>
        </w:rPr>
      </w:pPr>
      <w:r w:rsidRPr="005563A8">
        <w:rPr>
          <w:b/>
          <w:lang w:val="fr-CA"/>
        </w:rPr>
        <w:t>Critères d’évaluation de la soumission</w:t>
      </w:r>
      <w:r w:rsidRPr="005563A8">
        <w:rPr>
          <w:b/>
          <w:i/>
          <w:sz w:val="24"/>
          <w:szCs w:val="24"/>
          <w:lang w:val="fr-CA"/>
        </w:rPr>
        <w:t xml:space="preserve"> </w:t>
      </w:r>
    </w:p>
    <w:p w14:paraId="6C342767" w14:textId="77777777" w:rsidR="001F6EC2" w:rsidRPr="005563A8" w:rsidRDefault="001F6EC2" w:rsidP="001F6EC2">
      <w:pPr>
        <w:pStyle w:val="BankNormal"/>
        <w:spacing w:after="0" w:line="276" w:lineRule="auto"/>
        <w:jc w:val="both"/>
        <w:rPr>
          <w:rFonts w:asciiTheme="minorHAnsi" w:hAnsiTheme="minorHAnsi"/>
          <w:bCs/>
          <w:snapToGrid w:val="0"/>
          <w:sz w:val="22"/>
          <w:szCs w:val="22"/>
          <w:u w:val="single"/>
          <w:lang w:val="fr-CA"/>
        </w:rPr>
      </w:pPr>
      <w:r w:rsidRPr="005563A8">
        <w:rPr>
          <w:rFonts w:asciiTheme="minorHAnsi" w:hAnsiTheme="minorHAnsi"/>
          <w:bCs/>
          <w:snapToGrid w:val="0"/>
          <w:sz w:val="22"/>
          <w:szCs w:val="22"/>
          <w:u w:val="single"/>
          <w:lang w:val="fr-CA"/>
        </w:rPr>
        <w:t>Soumission technique (70 %)</w:t>
      </w:r>
    </w:p>
    <w:p w14:paraId="27D892E8" w14:textId="77777777" w:rsidR="001F6EC2" w:rsidRPr="005563A8" w:rsidRDefault="001F6EC2" w:rsidP="001F6EC2">
      <w:pPr>
        <w:pStyle w:val="BankNormal"/>
        <w:spacing w:after="0" w:line="276" w:lineRule="auto"/>
        <w:jc w:val="both"/>
        <w:rPr>
          <w:rFonts w:asciiTheme="minorHAnsi" w:hAnsiTheme="minorHAnsi"/>
          <w:bCs/>
          <w:snapToGrid w:val="0"/>
          <w:sz w:val="12"/>
          <w:szCs w:val="12"/>
          <w:u w:val="single"/>
          <w:lang w:val="fr-CA"/>
        </w:rPr>
      </w:pPr>
    </w:p>
    <w:p w14:paraId="3A8884C1" w14:textId="32B2F1B0" w:rsidR="001F6EC2" w:rsidRPr="005563A8" w:rsidRDefault="001F6EC2" w:rsidP="001F6EC2">
      <w:pPr>
        <w:pStyle w:val="BankNormal"/>
        <w:numPr>
          <w:ilvl w:val="0"/>
          <w:numId w:val="35"/>
        </w:numPr>
        <w:spacing w:after="0" w:line="276" w:lineRule="auto"/>
        <w:jc w:val="both"/>
        <w:rPr>
          <w:rFonts w:asciiTheme="minorHAnsi" w:hAnsiTheme="minorHAnsi"/>
          <w:snapToGrid w:val="0"/>
          <w:sz w:val="22"/>
          <w:szCs w:val="22"/>
          <w:lang w:val="fr-CA"/>
        </w:rPr>
      </w:pPr>
      <w:r w:rsidRPr="005563A8">
        <w:rPr>
          <w:rFonts w:asciiTheme="minorHAnsi" w:hAnsiTheme="minorHAnsi"/>
          <w:snapToGrid w:val="0"/>
          <w:sz w:val="22"/>
          <w:szCs w:val="22"/>
          <w:lang w:val="fr-CA"/>
        </w:rPr>
        <w:t>Expertise de l’entreprise</w:t>
      </w:r>
      <w:r w:rsidR="00DE0CA0">
        <w:rPr>
          <w:rFonts w:asciiTheme="minorHAnsi" w:hAnsiTheme="minorHAnsi"/>
          <w:snapToGrid w:val="0"/>
          <w:sz w:val="22"/>
          <w:szCs w:val="22"/>
          <w:lang w:val="fr-CA"/>
        </w:rPr>
        <w:t> </w:t>
      </w:r>
    </w:p>
    <w:p w14:paraId="2259BBFA" w14:textId="15EEB1A6" w:rsidR="001F6EC2" w:rsidRPr="005563A8" w:rsidRDefault="001F6EC2" w:rsidP="001F6EC2">
      <w:pPr>
        <w:pStyle w:val="BankNormal"/>
        <w:numPr>
          <w:ilvl w:val="0"/>
          <w:numId w:val="35"/>
        </w:numPr>
        <w:spacing w:after="0" w:line="276" w:lineRule="auto"/>
        <w:jc w:val="both"/>
        <w:rPr>
          <w:rFonts w:asciiTheme="minorHAnsi" w:hAnsiTheme="minorHAnsi"/>
          <w:snapToGrid w:val="0"/>
          <w:sz w:val="22"/>
          <w:szCs w:val="22"/>
          <w:lang w:val="fr-CA"/>
        </w:rPr>
      </w:pPr>
      <w:r w:rsidRPr="005563A8">
        <w:rPr>
          <w:rFonts w:asciiTheme="minorHAnsi" w:hAnsiTheme="minorHAnsi"/>
          <w:snapToGrid w:val="0"/>
          <w:sz w:val="22"/>
          <w:szCs w:val="22"/>
          <w:lang w:val="fr-CA"/>
        </w:rPr>
        <w:t>Méthodologie, adéquation aux conditions et au calendrier du plan d’exécution</w:t>
      </w:r>
      <w:r w:rsidR="00DE0CA0">
        <w:rPr>
          <w:rFonts w:asciiTheme="minorHAnsi" w:hAnsiTheme="minorHAnsi"/>
          <w:snapToGrid w:val="0"/>
          <w:sz w:val="22"/>
          <w:szCs w:val="22"/>
          <w:lang w:val="fr-CA"/>
        </w:rPr>
        <w:t> </w:t>
      </w:r>
    </w:p>
    <w:p w14:paraId="678D33D2" w14:textId="0121F670" w:rsidR="001F6EC2" w:rsidRPr="005563A8" w:rsidRDefault="001F6EC2" w:rsidP="001F6EC2">
      <w:pPr>
        <w:pStyle w:val="BankNormal"/>
        <w:numPr>
          <w:ilvl w:val="0"/>
          <w:numId w:val="35"/>
        </w:numPr>
        <w:spacing w:after="0" w:line="276" w:lineRule="auto"/>
        <w:jc w:val="both"/>
        <w:rPr>
          <w:rFonts w:asciiTheme="minorHAnsi" w:hAnsiTheme="minorHAnsi"/>
          <w:snapToGrid w:val="0"/>
          <w:sz w:val="22"/>
          <w:szCs w:val="22"/>
          <w:lang w:val="fr-CA"/>
        </w:rPr>
      </w:pPr>
      <w:r w:rsidRPr="005563A8">
        <w:rPr>
          <w:rFonts w:asciiTheme="minorHAnsi" w:hAnsiTheme="minorHAnsi"/>
          <w:snapToGrid w:val="0"/>
          <w:sz w:val="22"/>
          <w:szCs w:val="22"/>
          <w:lang w:val="fr-CA"/>
        </w:rPr>
        <w:t>Structure de la direction et qualifications du personnel clé</w:t>
      </w:r>
      <w:r w:rsidR="00DE0CA0">
        <w:rPr>
          <w:rFonts w:asciiTheme="minorHAnsi" w:hAnsiTheme="minorHAnsi"/>
          <w:snapToGrid w:val="0"/>
          <w:sz w:val="22"/>
          <w:szCs w:val="22"/>
          <w:lang w:val="fr-CA"/>
        </w:rPr>
        <w:t> </w:t>
      </w:r>
    </w:p>
    <w:p w14:paraId="2F09DC80" w14:textId="0EF7E4F5" w:rsidR="001F6EC2" w:rsidRPr="005563A8" w:rsidRDefault="001F6EC2" w:rsidP="001F6EC2">
      <w:pPr>
        <w:pStyle w:val="BankNormal"/>
        <w:numPr>
          <w:ilvl w:val="0"/>
          <w:numId w:val="35"/>
        </w:numPr>
        <w:spacing w:after="0" w:line="276" w:lineRule="auto"/>
        <w:jc w:val="both"/>
        <w:rPr>
          <w:rFonts w:asciiTheme="minorHAnsi" w:hAnsiTheme="minorHAnsi"/>
          <w:snapToGrid w:val="0"/>
          <w:sz w:val="22"/>
          <w:szCs w:val="22"/>
          <w:lang w:val="fr-CA"/>
        </w:rPr>
      </w:pPr>
      <w:r w:rsidRPr="005563A8">
        <w:rPr>
          <w:rFonts w:asciiTheme="minorHAnsi" w:hAnsiTheme="minorHAnsi"/>
          <w:snapToGrid w:val="0"/>
          <w:sz w:val="22"/>
          <w:szCs w:val="22"/>
          <w:lang w:val="fr-CA"/>
        </w:rPr>
        <w:t>Plan de travail et échéancier</w:t>
      </w:r>
      <w:r w:rsidR="00DE0CA0">
        <w:rPr>
          <w:rFonts w:asciiTheme="minorHAnsi" w:hAnsiTheme="minorHAnsi"/>
          <w:snapToGrid w:val="0"/>
          <w:sz w:val="22"/>
          <w:szCs w:val="22"/>
          <w:lang w:val="fr-CA"/>
        </w:rPr>
        <w:t> </w:t>
      </w:r>
    </w:p>
    <w:p w14:paraId="285CF2D8" w14:textId="77777777" w:rsidR="001F6EC2" w:rsidRPr="005563A8" w:rsidRDefault="001F6EC2" w:rsidP="001F6EC2">
      <w:pPr>
        <w:pStyle w:val="BankNormal"/>
        <w:spacing w:after="0" w:line="276" w:lineRule="auto"/>
        <w:jc w:val="both"/>
        <w:rPr>
          <w:rFonts w:asciiTheme="minorHAnsi" w:hAnsiTheme="minorHAnsi"/>
          <w:bCs/>
          <w:snapToGrid w:val="0"/>
          <w:sz w:val="12"/>
          <w:szCs w:val="12"/>
          <w:u w:val="single"/>
          <w:lang w:val="fr-CA"/>
        </w:rPr>
      </w:pPr>
    </w:p>
    <w:p w14:paraId="10DD01DE" w14:textId="77777777" w:rsidR="001F6EC2" w:rsidRPr="005563A8" w:rsidRDefault="001F6EC2" w:rsidP="001F6EC2">
      <w:pPr>
        <w:pStyle w:val="BankNormal"/>
        <w:spacing w:after="0" w:line="276" w:lineRule="auto"/>
        <w:jc w:val="both"/>
        <w:rPr>
          <w:rFonts w:asciiTheme="minorHAnsi" w:hAnsiTheme="minorHAnsi"/>
          <w:bCs/>
          <w:snapToGrid w:val="0"/>
          <w:sz w:val="22"/>
          <w:szCs w:val="22"/>
          <w:u w:val="single"/>
          <w:lang w:val="fr-CA"/>
        </w:rPr>
      </w:pPr>
      <w:r w:rsidRPr="005563A8">
        <w:rPr>
          <w:rFonts w:asciiTheme="minorHAnsi" w:hAnsiTheme="minorHAnsi"/>
          <w:bCs/>
          <w:snapToGrid w:val="0"/>
          <w:sz w:val="22"/>
          <w:szCs w:val="22"/>
          <w:u w:val="single"/>
          <w:lang w:val="fr-CA"/>
        </w:rPr>
        <w:t>Soumission financière (30 %)</w:t>
      </w:r>
    </w:p>
    <w:p w14:paraId="099D5A5F" w14:textId="77777777" w:rsidR="001F6EC2" w:rsidRPr="005563A8" w:rsidRDefault="001F6EC2" w:rsidP="001F6EC2">
      <w:pPr>
        <w:pStyle w:val="BankNormal"/>
        <w:spacing w:after="0" w:line="276" w:lineRule="auto"/>
        <w:jc w:val="both"/>
        <w:rPr>
          <w:rFonts w:asciiTheme="minorHAnsi" w:hAnsiTheme="minorHAnsi"/>
          <w:bCs/>
          <w:snapToGrid w:val="0"/>
          <w:sz w:val="12"/>
          <w:szCs w:val="12"/>
          <w:u w:val="single"/>
          <w:lang w:val="fr-CA"/>
        </w:rPr>
      </w:pPr>
    </w:p>
    <w:p w14:paraId="74A0B53E" w14:textId="77777777" w:rsidR="001F6EC2" w:rsidRPr="005563A8" w:rsidRDefault="00586313" w:rsidP="00686F93">
      <w:pPr>
        <w:pStyle w:val="BankNormal"/>
        <w:numPr>
          <w:ilvl w:val="0"/>
          <w:numId w:val="40"/>
        </w:numPr>
        <w:spacing w:after="0" w:line="276" w:lineRule="auto"/>
        <w:jc w:val="both"/>
        <w:rPr>
          <w:rFonts w:asciiTheme="minorHAnsi" w:hAnsiTheme="minorHAnsi"/>
          <w:snapToGrid w:val="0"/>
          <w:sz w:val="22"/>
          <w:szCs w:val="22"/>
          <w:lang w:val="fr-CA"/>
        </w:rPr>
      </w:pPr>
      <w:r>
        <w:rPr>
          <w:rFonts w:asciiTheme="minorHAnsi" w:hAnsiTheme="minorHAnsi"/>
          <w:snapToGrid w:val="0"/>
          <w:sz w:val="22"/>
          <w:szCs w:val="22"/>
          <w:lang w:val="fr-CA"/>
        </w:rPr>
        <w:t>À</w:t>
      </w:r>
      <w:r w:rsidR="001F6EC2" w:rsidRPr="005563A8">
        <w:rPr>
          <w:rFonts w:asciiTheme="minorHAnsi" w:hAnsiTheme="minorHAnsi"/>
          <w:snapToGrid w:val="0"/>
          <w:sz w:val="22"/>
          <w:szCs w:val="22"/>
          <w:lang w:val="fr-CA"/>
        </w:rPr>
        <w:t xml:space="preserve"> calculer en comparant le prix de la soumission par rapport au prix le plus bas des soumissions reçues par le PNUD.</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9510"/>
      </w:tblGrid>
      <w:tr w:rsidR="007A022A" w:rsidRPr="00735EB2" w14:paraId="00FED37F" w14:textId="77777777" w:rsidTr="00301068">
        <w:trPr>
          <w:tblCellSpacing w:w="30" w:type="dxa"/>
        </w:trPr>
        <w:tc>
          <w:tcPr>
            <w:tcW w:w="0" w:type="auto"/>
            <w:vAlign w:val="center"/>
            <w:hideMark/>
          </w:tcPr>
          <w:p w14:paraId="5455F758" w14:textId="77777777" w:rsidR="007A022A" w:rsidRPr="00EA3687" w:rsidRDefault="007A022A" w:rsidP="007A022A">
            <w:pPr>
              <w:spacing w:before="100" w:beforeAutospacing="1" w:after="100" w:afterAutospacing="1" w:line="240" w:lineRule="auto"/>
              <w:jc w:val="both"/>
              <w:outlineLvl w:val="4"/>
              <w:rPr>
                <w:rFonts w:eastAsia="Times New Roman" w:cs="Times New Roman"/>
                <w:b/>
                <w:bCs/>
                <w:sz w:val="24"/>
                <w:szCs w:val="24"/>
                <w:lang w:val="fr-CA"/>
              </w:rPr>
            </w:pPr>
          </w:p>
        </w:tc>
      </w:tr>
      <w:tr w:rsidR="007A022A" w:rsidRPr="00735EB2" w14:paraId="6DFDF6D9" w14:textId="77777777" w:rsidTr="00301068">
        <w:trPr>
          <w:tblCellSpacing w:w="30" w:type="dxa"/>
        </w:trPr>
        <w:tc>
          <w:tcPr>
            <w:tcW w:w="0" w:type="auto"/>
            <w:vAlign w:val="center"/>
            <w:hideMark/>
          </w:tcPr>
          <w:p w14:paraId="4B047186" w14:textId="77777777" w:rsidR="00115A49" w:rsidRPr="005563A8" w:rsidRDefault="00115A49" w:rsidP="00686F93">
            <w:pPr>
              <w:spacing w:after="0"/>
              <w:rPr>
                <w:rFonts w:asciiTheme="majorHAnsi" w:eastAsiaTheme="majorEastAsia" w:hAnsiTheme="majorHAnsi" w:cstheme="majorBidi"/>
                <w:sz w:val="12"/>
                <w:szCs w:val="12"/>
                <w:lang w:val="fr-FR"/>
              </w:rPr>
            </w:pPr>
          </w:p>
          <w:p w14:paraId="0483F8FA" w14:textId="77777777" w:rsidR="00115A49" w:rsidRDefault="00586313" w:rsidP="00F1429D">
            <w:pPr>
              <w:pStyle w:val="Heading3"/>
              <w:numPr>
                <w:ilvl w:val="0"/>
                <w:numId w:val="19"/>
              </w:numPr>
              <w:spacing w:line="240" w:lineRule="auto"/>
              <w:rPr>
                <w:lang w:val="fr-FR"/>
              </w:rPr>
            </w:pPr>
            <w:r>
              <w:rPr>
                <w:lang w:val="fr-FR"/>
              </w:rPr>
              <w:t>É</w:t>
            </w:r>
            <w:r w:rsidR="00115A49" w:rsidRPr="00D460C1">
              <w:rPr>
                <w:lang w:val="fr-FR"/>
              </w:rPr>
              <w:t>CH</w:t>
            </w:r>
            <w:r>
              <w:rPr>
                <w:lang w:val="fr-FR"/>
              </w:rPr>
              <w:t>É</w:t>
            </w:r>
            <w:r w:rsidR="00115A49" w:rsidRPr="00D460C1">
              <w:rPr>
                <w:lang w:val="fr-FR"/>
              </w:rPr>
              <w:t>ANCIER</w:t>
            </w:r>
            <w:r w:rsidR="00115A49">
              <w:rPr>
                <w:lang w:val="fr-FR"/>
              </w:rPr>
              <w:t xml:space="preserve"> DES LIVRABLES ET PAIEMENTS</w:t>
            </w:r>
          </w:p>
          <w:p w14:paraId="55F33ED9" w14:textId="77777777" w:rsidR="00F1429D" w:rsidRPr="00F21AF9" w:rsidRDefault="00F1429D" w:rsidP="00F1429D">
            <w:pPr>
              <w:tabs>
                <w:tab w:val="center" w:pos="4680"/>
                <w:tab w:val="right" w:pos="9360"/>
              </w:tabs>
              <w:spacing w:after="0" w:line="240" w:lineRule="auto"/>
              <w:rPr>
                <w:lang w:val="fr-CA"/>
              </w:rPr>
            </w:pPr>
          </w:p>
          <w:p w14:paraId="6FBEF53A" w14:textId="77777777" w:rsidR="00115A49" w:rsidRPr="00F1429D" w:rsidRDefault="00962F71" w:rsidP="00F1429D">
            <w:pPr>
              <w:spacing w:line="240" w:lineRule="auto"/>
              <w:rPr>
                <w:rFonts w:eastAsia="Calibri" w:cs="Calibri"/>
                <w:sz w:val="24"/>
                <w:szCs w:val="24"/>
                <w:lang w:val="fr-FR"/>
              </w:rPr>
            </w:pPr>
            <w:r>
              <w:rPr>
                <w:rFonts w:eastAsia="Calibri" w:cs="Calibri"/>
                <w:sz w:val="24"/>
                <w:szCs w:val="24"/>
                <w:lang w:val="fr-FR"/>
              </w:rPr>
              <w:t>Une durée de 75</w:t>
            </w:r>
            <w:r w:rsidR="00115A49" w:rsidRPr="00F1429D">
              <w:rPr>
                <w:rFonts w:eastAsia="Calibri" w:cs="Calibri"/>
                <w:sz w:val="24"/>
                <w:szCs w:val="24"/>
                <w:lang w:val="fr-FR"/>
              </w:rPr>
              <w:t xml:space="preserve"> jours sur </w:t>
            </w:r>
            <w:r w:rsidR="00F1429D" w:rsidRPr="00F1429D">
              <w:rPr>
                <w:rFonts w:eastAsia="Calibri" w:cs="Calibri"/>
                <w:sz w:val="24"/>
                <w:szCs w:val="24"/>
                <w:lang w:val="fr-FR"/>
              </w:rPr>
              <w:t xml:space="preserve">une période maximum de </w:t>
            </w:r>
            <w:r w:rsidR="00586313">
              <w:rPr>
                <w:rFonts w:eastAsia="Calibri" w:cs="Calibri"/>
                <w:sz w:val="24"/>
                <w:szCs w:val="24"/>
                <w:lang w:val="fr-FR"/>
              </w:rPr>
              <w:t>cinq</w:t>
            </w:r>
            <w:r w:rsidR="0097044B" w:rsidRPr="00F1429D">
              <w:rPr>
                <w:rFonts w:eastAsia="Calibri" w:cs="Calibri"/>
                <w:sz w:val="24"/>
                <w:szCs w:val="24"/>
                <w:lang w:val="fr-FR"/>
              </w:rPr>
              <w:t xml:space="preserve"> mois (1</w:t>
            </w:r>
            <w:r w:rsidR="00115A49" w:rsidRPr="00F1429D">
              <w:rPr>
                <w:rFonts w:eastAsia="Calibri" w:cs="Calibri"/>
                <w:sz w:val="24"/>
                <w:szCs w:val="24"/>
                <w:lang w:val="fr-FR"/>
              </w:rPr>
              <w:t xml:space="preserve"> </w:t>
            </w:r>
            <w:r w:rsidR="00586313">
              <w:rPr>
                <w:rFonts w:eastAsia="Calibri" w:cs="Calibri"/>
                <w:sz w:val="24"/>
                <w:szCs w:val="24"/>
                <w:lang w:val="fr-FR"/>
              </w:rPr>
              <w:t>août</w:t>
            </w:r>
            <w:r w:rsidR="00115A49" w:rsidRPr="00F1429D">
              <w:rPr>
                <w:rFonts w:eastAsia="Calibri" w:cs="Calibri"/>
                <w:sz w:val="24"/>
                <w:szCs w:val="24"/>
                <w:lang w:val="fr-FR"/>
              </w:rPr>
              <w:t xml:space="preserve"> -</w:t>
            </w:r>
            <w:r w:rsidR="0097044B" w:rsidRPr="00F1429D">
              <w:rPr>
                <w:rFonts w:eastAsia="Calibri" w:cs="Calibri"/>
                <w:sz w:val="24"/>
                <w:szCs w:val="24"/>
                <w:lang w:val="fr-FR"/>
              </w:rPr>
              <w:t xml:space="preserve"> 30 </w:t>
            </w:r>
            <w:r w:rsidR="00586313">
              <w:rPr>
                <w:rFonts w:eastAsia="Calibri" w:cs="Calibri"/>
                <w:sz w:val="24"/>
                <w:szCs w:val="24"/>
                <w:lang w:val="fr-FR"/>
              </w:rPr>
              <w:t>décembre</w:t>
            </w:r>
            <w:r w:rsidR="00586313" w:rsidRPr="00F1429D">
              <w:rPr>
                <w:rFonts w:eastAsia="Calibri" w:cs="Calibri"/>
                <w:sz w:val="24"/>
                <w:szCs w:val="24"/>
                <w:lang w:val="fr-FR"/>
              </w:rPr>
              <w:t xml:space="preserve"> </w:t>
            </w:r>
            <w:r w:rsidR="0097044B" w:rsidRPr="00F1429D">
              <w:rPr>
                <w:rFonts w:eastAsia="Calibri" w:cs="Calibri"/>
                <w:sz w:val="24"/>
                <w:szCs w:val="24"/>
                <w:lang w:val="fr-FR"/>
              </w:rPr>
              <w:t>2018</w:t>
            </w:r>
            <w:r w:rsidR="00115A49" w:rsidRPr="00F1429D">
              <w:rPr>
                <w:rFonts w:eastAsia="Calibri" w:cs="Calibri"/>
                <w:sz w:val="24"/>
                <w:szCs w:val="24"/>
                <w:lang w:val="fr-FR"/>
              </w:rPr>
              <w:t>) est prévue pour la réalisation des travaux.</w:t>
            </w:r>
          </w:p>
          <w:tbl>
            <w:tblPr>
              <w:tblStyle w:val="TableGrid"/>
              <w:tblW w:w="0" w:type="auto"/>
              <w:tblLook w:val="04A0" w:firstRow="1" w:lastRow="0" w:firstColumn="1" w:lastColumn="0" w:noHBand="0" w:noVBand="1"/>
            </w:tblPr>
            <w:tblGrid>
              <w:gridCol w:w="4436"/>
              <w:gridCol w:w="1076"/>
              <w:gridCol w:w="2140"/>
              <w:gridCol w:w="1698"/>
            </w:tblGrid>
            <w:tr w:rsidR="00115A49" w:rsidRPr="0097044B" w14:paraId="5429D68C" w14:textId="77777777" w:rsidTr="005563A8">
              <w:tc>
                <w:tcPr>
                  <w:tcW w:w="0" w:type="auto"/>
                  <w:shd w:val="clear" w:color="auto" w:fill="AEAAAA" w:themeFill="background2" w:themeFillShade="BF"/>
                </w:tcPr>
                <w:p w14:paraId="0BD2AF94" w14:textId="77777777" w:rsidR="005563A8" w:rsidRDefault="00115A49" w:rsidP="00115A49">
                  <w:pPr>
                    <w:rPr>
                      <w:rFonts w:eastAsia="Calibri" w:cs="Calibri"/>
                      <w:b/>
                      <w:lang w:val="fr-FR"/>
                    </w:rPr>
                  </w:pPr>
                  <w:r w:rsidRPr="0019193F">
                    <w:rPr>
                      <w:rFonts w:eastAsia="Calibri" w:cs="Calibri"/>
                      <w:b/>
                      <w:lang w:val="fr-FR"/>
                    </w:rPr>
                    <w:t xml:space="preserve">LIVRABLES </w:t>
                  </w:r>
                </w:p>
                <w:p w14:paraId="2CA67DD5" w14:textId="77777777" w:rsidR="00115A49" w:rsidRPr="005563A8" w:rsidRDefault="00115A49" w:rsidP="005563A8">
                  <w:pPr>
                    <w:jc w:val="right"/>
                    <w:rPr>
                      <w:rFonts w:eastAsia="Calibri" w:cs="Calibri"/>
                      <w:lang w:val="fr-FR"/>
                    </w:rPr>
                  </w:pPr>
                </w:p>
              </w:tc>
              <w:tc>
                <w:tcPr>
                  <w:tcW w:w="0" w:type="auto"/>
                  <w:shd w:val="clear" w:color="auto" w:fill="AEAAAA" w:themeFill="background2" w:themeFillShade="BF"/>
                </w:tcPr>
                <w:p w14:paraId="0A362FA5" w14:textId="77777777" w:rsidR="00115A49" w:rsidRPr="0019193F" w:rsidRDefault="00B9230B" w:rsidP="00115A49">
                  <w:pPr>
                    <w:rPr>
                      <w:rFonts w:eastAsia="Calibri" w:cs="Calibri"/>
                      <w:b/>
                      <w:lang w:val="fr-FR"/>
                    </w:rPr>
                  </w:pPr>
                  <w:r>
                    <w:rPr>
                      <w:rFonts w:eastAsia="Calibri" w:cs="Calibri"/>
                      <w:b/>
                      <w:lang w:val="fr-FR"/>
                    </w:rPr>
                    <w:t>TEMPS ALLOUÉ</w:t>
                  </w:r>
                </w:p>
              </w:tc>
              <w:tc>
                <w:tcPr>
                  <w:tcW w:w="0" w:type="auto"/>
                  <w:shd w:val="clear" w:color="auto" w:fill="AEAAAA" w:themeFill="background2" w:themeFillShade="BF"/>
                </w:tcPr>
                <w:p w14:paraId="5BCE898F" w14:textId="77777777" w:rsidR="00115A49" w:rsidRPr="0019193F" w:rsidRDefault="00115A49" w:rsidP="000D18C5">
                  <w:pPr>
                    <w:jc w:val="center"/>
                    <w:rPr>
                      <w:rFonts w:eastAsia="Calibri" w:cs="Calibri"/>
                      <w:b/>
                      <w:lang w:val="fr-FR"/>
                    </w:rPr>
                  </w:pPr>
                  <w:r w:rsidRPr="0019193F">
                    <w:rPr>
                      <w:rFonts w:eastAsia="Calibri" w:cs="Calibri"/>
                      <w:b/>
                      <w:lang w:val="fr-FR"/>
                    </w:rPr>
                    <w:t>PAIEMENTS SUR BASE D’APPROBATION</w:t>
                  </w:r>
                </w:p>
              </w:tc>
              <w:tc>
                <w:tcPr>
                  <w:tcW w:w="0" w:type="auto"/>
                  <w:shd w:val="clear" w:color="auto" w:fill="AEAAAA" w:themeFill="background2" w:themeFillShade="BF"/>
                </w:tcPr>
                <w:p w14:paraId="1D800AC5" w14:textId="77777777" w:rsidR="00115A49" w:rsidRPr="0019193F" w:rsidRDefault="00115A49" w:rsidP="00115A49">
                  <w:pPr>
                    <w:rPr>
                      <w:rFonts w:eastAsia="Calibri" w:cs="Calibri"/>
                      <w:b/>
                      <w:lang w:val="fr-FR"/>
                    </w:rPr>
                  </w:pPr>
                  <w:r w:rsidRPr="0019193F">
                    <w:rPr>
                      <w:rFonts w:eastAsia="Calibri" w:cs="Calibri"/>
                      <w:b/>
                      <w:lang w:val="fr-FR"/>
                    </w:rPr>
                    <w:t>APPROBATION</w:t>
                  </w:r>
                </w:p>
              </w:tc>
            </w:tr>
            <w:tr w:rsidR="00115A49" w:rsidRPr="0097044B" w14:paraId="397A23E1" w14:textId="77777777" w:rsidTr="005563A8">
              <w:trPr>
                <w:trHeight w:val="1187"/>
              </w:trPr>
              <w:tc>
                <w:tcPr>
                  <w:tcW w:w="0" w:type="auto"/>
                  <w:shd w:val="clear" w:color="auto" w:fill="E7E6E6" w:themeFill="background2"/>
                </w:tcPr>
                <w:p w14:paraId="64188E6D" w14:textId="77777777" w:rsidR="00115A49" w:rsidRPr="0097044B" w:rsidRDefault="00115A49" w:rsidP="00F1429D">
                  <w:pPr>
                    <w:rPr>
                      <w:rFonts w:eastAsia="Calibri" w:cs="Calibri"/>
                      <w:lang w:val="fr-FR"/>
                    </w:rPr>
                  </w:pPr>
                  <w:r w:rsidRPr="0097044B">
                    <w:rPr>
                      <w:rFonts w:eastAsiaTheme="majorEastAsia" w:cstheme="majorBidi"/>
                      <w:lang w:val="fr-FR"/>
                    </w:rPr>
                    <w:t>Rapport de démarrage, avec un plan de travail détaillé/méthodologie</w:t>
                  </w:r>
                  <w:r w:rsidR="00F1429D">
                    <w:rPr>
                      <w:rFonts w:eastAsiaTheme="majorEastAsia" w:cstheme="majorBidi"/>
                      <w:lang w:val="fr-FR"/>
                    </w:rPr>
                    <w:t xml:space="preserve"> </w:t>
                  </w:r>
                  <w:r w:rsidRPr="0097044B">
                    <w:rPr>
                      <w:rFonts w:eastAsiaTheme="majorEastAsia" w:cstheme="majorBidi"/>
                      <w:lang w:val="fr-FR"/>
                    </w:rPr>
                    <w:t>;</w:t>
                  </w:r>
                </w:p>
              </w:tc>
              <w:tc>
                <w:tcPr>
                  <w:tcW w:w="0" w:type="auto"/>
                  <w:shd w:val="clear" w:color="auto" w:fill="E7E6E6" w:themeFill="background2"/>
                </w:tcPr>
                <w:p w14:paraId="1D1CD613" w14:textId="77777777" w:rsidR="00115A49" w:rsidRPr="0097044B" w:rsidRDefault="00962F71" w:rsidP="00D231DB">
                  <w:pPr>
                    <w:rPr>
                      <w:rFonts w:eastAsia="Calibri" w:cs="Calibri"/>
                      <w:lang w:val="fr-FR"/>
                    </w:rPr>
                  </w:pPr>
                  <w:r>
                    <w:rPr>
                      <w:rFonts w:eastAsia="Calibri" w:cs="Calibri"/>
                      <w:lang w:val="fr-FR"/>
                    </w:rPr>
                    <w:t>5</w:t>
                  </w:r>
                  <w:r w:rsidR="00115A49" w:rsidRPr="0097044B">
                    <w:rPr>
                      <w:rFonts w:eastAsia="Calibri" w:cs="Calibri"/>
                      <w:lang w:val="fr-FR"/>
                    </w:rPr>
                    <w:t xml:space="preserve"> jours </w:t>
                  </w:r>
                </w:p>
              </w:tc>
              <w:tc>
                <w:tcPr>
                  <w:tcW w:w="0" w:type="auto"/>
                  <w:shd w:val="clear" w:color="auto" w:fill="E7E6E6" w:themeFill="background2"/>
                </w:tcPr>
                <w:p w14:paraId="764D4EA5" w14:textId="77777777" w:rsidR="00115A49" w:rsidRPr="0097044B" w:rsidRDefault="00115A49" w:rsidP="000D18C5">
                  <w:pPr>
                    <w:jc w:val="center"/>
                    <w:rPr>
                      <w:rFonts w:eastAsia="Calibri" w:cs="Calibri"/>
                      <w:lang w:val="fr-FR"/>
                    </w:rPr>
                  </w:pPr>
                  <w:r w:rsidRPr="0097044B">
                    <w:rPr>
                      <w:rFonts w:eastAsia="Calibri" w:cs="Calibri"/>
                      <w:lang w:val="fr-FR"/>
                    </w:rPr>
                    <w:t>5%</w:t>
                  </w:r>
                </w:p>
              </w:tc>
              <w:tc>
                <w:tcPr>
                  <w:tcW w:w="0" w:type="auto"/>
                  <w:shd w:val="clear" w:color="auto" w:fill="E7E6E6" w:themeFill="background2"/>
                </w:tcPr>
                <w:p w14:paraId="0ECF158B" w14:textId="77777777" w:rsidR="00115A49" w:rsidRPr="0097044B" w:rsidRDefault="00115A49" w:rsidP="005563A8">
                  <w:pPr>
                    <w:rPr>
                      <w:rFonts w:eastAsia="Calibri" w:cs="Calibri"/>
                      <w:lang w:val="fr-FR"/>
                    </w:rPr>
                  </w:pPr>
                  <w:r w:rsidRPr="0097044B">
                    <w:rPr>
                      <w:rFonts w:eastAsia="Calibri" w:cs="Calibri"/>
                      <w:lang w:val="fr-FR"/>
                    </w:rPr>
                    <w:t>UNDP</w:t>
                  </w:r>
                  <w:r w:rsidR="005563A8">
                    <w:rPr>
                      <w:rFonts w:eastAsia="Calibri" w:cs="Calibri"/>
                      <w:lang w:val="fr-FR"/>
                    </w:rPr>
                    <w:t>-Haïti</w:t>
                  </w:r>
                </w:p>
              </w:tc>
            </w:tr>
            <w:tr w:rsidR="00FE2838" w:rsidRPr="0097044B" w14:paraId="4B116CD0" w14:textId="77777777" w:rsidTr="005563A8">
              <w:tc>
                <w:tcPr>
                  <w:tcW w:w="0" w:type="auto"/>
                  <w:gridSpan w:val="4"/>
                  <w:shd w:val="clear" w:color="auto" w:fill="BDD6EE" w:themeFill="accent1" w:themeFillTint="66"/>
                </w:tcPr>
                <w:p w14:paraId="1DBF32ED" w14:textId="77777777" w:rsidR="00FE2838" w:rsidRPr="004A7D08" w:rsidRDefault="004A7D08" w:rsidP="000D18C5">
                  <w:pPr>
                    <w:jc w:val="center"/>
                    <w:rPr>
                      <w:rFonts w:eastAsia="Calibri" w:cs="Calibri"/>
                      <w:b/>
                      <w:lang w:val="fr-FR"/>
                    </w:rPr>
                  </w:pPr>
                  <w:r w:rsidRPr="004A7D08">
                    <w:rPr>
                      <w:rFonts w:eastAsia="Calibri" w:cs="Calibri"/>
                      <w:b/>
                      <w:lang w:val="fr-FR"/>
                    </w:rPr>
                    <w:t xml:space="preserve">Commune de Les </w:t>
                  </w:r>
                  <w:proofErr w:type="spellStart"/>
                  <w:r w:rsidRPr="004A7D08">
                    <w:rPr>
                      <w:rFonts w:eastAsia="Calibri" w:cs="Calibri"/>
                      <w:b/>
                      <w:lang w:val="fr-FR"/>
                    </w:rPr>
                    <w:t>Irois</w:t>
                  </w:r>
                  <w:proofErr w:type="spellEnd"/>
                </w:p>
              </w:tc>
            </w:tr>
            <w:tr w:rsidR="003B0DE6" w:rsidRPr="0097044B" w14:paraId="1F36DBF4" w14:textId="77777777" w:rsidTr="005563A8">
              <w:tc>
                <w:tcPr>
                  <w:tcW w:w="0" w:type="auto"/>
                  <w:shd w:val="clear" w:color="auto" w:fill="DEEAF6" w:themeFill="accent1" w:themeFillTint="33"/>
                </w:tcPr>
                <w:p w14:paraId="768842AC" w14:textId="77777777" w:rsidR="003B0DE6" w:rsidRPr="0097044B" w:rsidRDefault="00B9230B" w:rsidP="00EE1893">
                  <w:pPr>
                    <w:rPr>
                      <w:rFonts w:eastAsia="Calibri" w:cs="Calibri"/>
                      <w:lang w:val="fr-FR"/>
                    </w:rPr>
                  </w:pPr>
                  <w:r>
                    <w:rPr>
                      <w:rFonts w:eastAsiaTheme="majorEastAsia" w:cstheme="majorBidi"/>
                      <w:lang w:val="fr-FR"/>
                    </w:rPr>
                    <w:t>Cartographie et évaluation des OCB</w:t>
                  </w:r>
                  <w:r w:rsidRPr="00F21AF9">
                    <w:rPr>
                      <w:rFonts w:eastAsiaTheme="majorEastAsia" w:cstheme="majorBidi"/>
                      <w:lang w:val="fr-CA"/>
                    </w:rPr>
                    <w:t>/</w:t>
                  </w:r>
                  <w:r w:rsidRPr="0076201B">
                    <w:rPr>
                      <w:rFonts w:eastAsiaTheme="majorEastAsia" w:cstheme="majorBidi"/>
                      <w:lang w:val="fr-FR"/>
                    </w:rPr>
                    <w:t xml:space="preserve"> propositions pour </w:t>
                  </w:r>
                  <w:r w:rsidRPr="00E93B57">
                    <w:rPr>
                      <w:rFonts w:eastAsiaTheme="majorEastAsia" w:cstheme="majorBidi"/>
                      <w:lang w:val="fr-FR"/>
                    </w:rPr>
                    <w:t>la formation de groupes consultatifs de la société civile</w:t>
                  </w:r>
                </w:p>
              </w:tc>
              <w:tc>
                <w:tcPr>
                  <w:tcW w:w="0" w:type="auto"/>
                  <w:shd w:val="clear" w:color="auto" w:fill="DEEAF6" w:themeFill="accent1" w:themeFillTint="33"/>
                </w:tcPr>
                <w:p w14:paraId="6472BBE4" w14:textId="77777777" w:rsidR="003B0DE6" w:rsidRPr="0097044B" w:rsidRDefault="00F04852" w:rsidP="00115A49">
                  <w:pPr>
                    <w:rPr>
                      <w:rFonts w:eastAsia="Calibri" w:cs="Calibri"/>
                      <w:lang w:val="fr-FR"/>
                    </w:rPr>
                  </w:pPr>
                  <w:r>
                    <w:rPr>
                      <w:rFonts w:eastAsia="Calibri" w:cs="Calibri"/>
                      <w:lang w:val="fr-FR"/>
                    </w:rPr>
                    <w:t>5 jours</w:t>
                  </w:r>
                </w:p>
              </w:tc>
              <w:tc>
                <w:tcPr>
                  <w:tcW w:w="0" w:type="auto"/>
                  <w:shd w:val="clear" w:color="auto" w:fill="DEEAF6" w:themeFill="accent1" w:themeFillTint="33"/>
                </w:tcPr>
                <w:p w14:paraId="209EF9F7" w14:textId="77777777" w:rsidR="003B0DE6" w:rsidRPr="0097044B" w:rsidRDefault="00B9230B" w:rsidP="000D18C5">
                  <w:pPr>
                    <w:jc w:val="center"/>
                    <w:rPr>
                      <w:rFonts w:eastAsia="Calibri" w:cs="Calibri"/>
                      <w:lang w:val="fr-FR"/>
                    </w:rPr>
                  </w:pPr>
                  <w:r>
                    <w:rPr>
                      <w:rFonts w:eastAsia="Calibri" w:cs="Calibri"/>
                      <w:lang w:val="fr-FR"/>
                    </w:rPr>
                    <w:t>5%</w:t>
                  </w:r>
                </w:p>
              </w:tc>
              <w:tc>
                <w:tcPr>
                  <w:tcW w:w="0" w:type="auto"/>
                  <w:shd w:val="clear" w:color="auto" w:fill="DEEAF6" w:themeFill="accent1" w:themeFillTint="33"/>
                </w:tcPr>
                <w:p w14:paraId="0DE82DEF" w14:textId="77777777" w:rsidR="003B0DE6"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CD2E40" w:rsidRPr="0097044B" w14:paraId="6DD0ACF9" w14:textId="77777777" w:rsidTr="005563A8">
              <w:tc>
                <w:tcPr>
                  <w:tcW w:w="0" w:type="auto"/>
                  <w:shd w:val="clear" w:color="auto" w:fill="DEEAF6" w:themeFill="accent1" w:themeFillTint="33"/>
                </w:tcPr>
                <w:p w14:paraId="16A0E6FA" w14:textId="77777777" w:rsidR="00CD2E40" w:rsidRPr="0076201B" w:rsidRDefault="007D5419" w:rsidP="00FE2838">
                  <w:pPr>
                    <w:rPr>
                      <w:rFonts w:eastAsiaTheme="majorEastAsia" w:cstheme="majorBidi"/>
                      <w:lang w:val="fr-FR"/>
                    </w:rPr>
                  </w:pPr>
                  <w:r>
                    <w:rPr>
                      <w:rFonts w:eastAsia="Times New Roman" w:cs="Times New Roman"/>
                      <w:lang w:val="fr-CA"/>
                    </w:rPr>
                    <w:t>Rapport d’</w:t>
                  </w:r>
                  <w:proofErr w:type="spellStart"/>
                  <w:r>
                    <w:rPr>
                      <w:rFonts w:eastAsia="Times New Roman" w:cs="Times New Roman"/>
                      <w:lang w:val="fr-CA"/>
                    </w:rPr>
                    <w:t>activit</w:t>
                  </w:r>
                  <w:r>
                    <w:rPr>
                      <w:rFonts w:eastAsia="Times New Roman" w:cs="Times New Roman"/>
                      <w:lang w:val="fr-FR"/>
                    </w:rPr>
                    <w:t>és</w:t>
                  </w:r>
                  <w:proofErr w:type="spellEnd"/>
                  <w:r w:rsidR="00CD2E40" w:rsidRPr="0076201B">
                    <w:rPr>
                      <w:rFonts w:eastAsia="Times New Roman" w:cs="Times New Roman"/>
                      <w:lang w:val="fr-CA"/>
                    </w:rPr>
                    <w:t>, y compris la liste et les coordonnées des participants, les résultats des activités et les recommandations à suivre</w:t>
                  </w:r>
                </w:p>
              </w:tc>
              <w:tc>
                <w:tcPr>
                  <w:tcW w:w="0" w:type="auto"/>
                  <w:shd w:val="clear" w:color="auto" w:fill="DEEAF6" w:themeFill="accent1" w:themeFillTint="33"/>
                </w:tcPr>
                <w:p w14:paraId="35C9B54D" w14:textId="77777777" w:rsidR="00CD2E40" w:rsidRPr="0097044B" w:rsidRDefault="00F04852" w:rsidP="00115A49">
                  <w:pPr>
                    <w:rPr>
                      <w:rFonts w:eastAsia="Calibri" w:cs="Calibri"/>
                      <w:lang w:val="fr-FR"/>
                    </w:rPr>
                  </w:pPr>
                  <w:r>
                    <w:rPr>
                      <w:rFonts w:eastAsia="Calibri" w:cs="Calibri"/>
                      <w:lang w:val="fr-FR"/>
                    </w:rPr>
                    <w:t>10 jours</w:t>
                  </w:r>
                </w:p>
              </w:tc>
              <w:tc>
                <w:tcPr>
                  <w:tcW w:w="0" w:type="auto"/>
                  <w:shd w:val="clear" w:color="auto" w:fill="DEEAF6" w:themeFill="accent1" w:themeFillTint="33"/>
                </w:tcPr>
                <w:p w14:paraId="163D1275" w14:textId="77777777" w:rsidR="00CD2E40" w:rsidRPr="0097044B" w:rsidRDefault="00B9230B" w:rsidP="000D18C5">
                  <w:pPr>
                    <w:jc w:val="center"/>
                    <w:rPr>
                      <w:rFonts w:eastAsia="Calibri" w:cs="Calibri"/>
                      <w:lang w:val="fr-FR"/>
                    </w:rPr>
                  </w:pPr>
                  <w:r>
                    <w:rPr>
                      <w:rFonts w:eastAsia="Calibri" w:cs="Calibri"/>
                      <w:lang w:val="fr-FR"/>
                    </w:rPr>
                    <w:t>15%</w:t>
                  </w:r>
                </w:p>
              </w:tc>
              <w:tc>
                <w:tcPr>
                  <w:tcW w:w="0" w:type="auto"/>
                  <w:shd w:val="clear" w:color="auto" w:fill="DEEAF6" w:themeFill="accent1" w:themeFillTint="33"/>
                </w:tcPr>
                <w:p w14:paraId="3FF9D0EB" w14:textId="77777777" w:rsidR="00CD2E40"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CD2E40" w:rsidRPr="0097044B" w14:paraId="0C20EF2F" w14:textId="77777777" w:rsidTr="005563A8">
              <w:tc>
                <w:tcPr>
                  <w:tcW w:w="0" w:type="auto"/>
                  <w:gridSpan w:val="4"/>
                  <w:shd w:val="clear" w:color="auto" w:fill="C5E0B3" w:themeFill="accent6" w:themeFillTint="66"/>
                </w:tcPr>
                <w:p w14:paraId="7988B1FB" w14:textId="77777777" w:rsidR="00CD2E40" w:rsidRPr="00DE4D15" w:rsidRDefault="004A7D08" w:rsidP="000D18C5">
                  <w:pPr>
                    <w:jc w:val="center"/>
                    <w:rPr>
                      <w:rFonts w:eastAsia="Calibri" w:cs="Calibri"/>
                      <w:b/>
                      <w:lang w:val="fr-FR"/>
                    </w:rPr>
                  </w:pPr>
                  <w:r w:rsidRPr="00DE4D15">
                    <w:rPr>
                      <w:rFonts w:eastAsia="Calibri" w:cs="Calibri"/>
                      <w:b/>
                      <w:lang w:val="fr-FR"/>
                    </w:rPr>
                    <w:t>Commune d’Anse d’</w:t>
                  </w:r>
                  <w:proofErr w:type="spellStart"/>
                  <w:r w:rsidRPr="00DE4D15">
                    <w:rPr>
                      <w:rFonts w:eastAsia="Calibri" w:cs="Calibri"/>
                      <w:b/>
                      <w:lang w:val="fr-FR"/>
                    </w:rPr>
                    <w:t>Hainault</w:t>
                  </w:r>
                  <w:proofErr w:type="spellEnd"/>
                </w:p>
              </w:tc>
            </w:tr>
            <w:tr w:rsidR="007D5419" w:rsidRPr="0097044B" w14:paraId="5671380A" w14:textId="77777777" w:rsidTr="005563A8">
              <w:tc>
                <w:tcPr>
                  <w:tcW w:w="0" w:type="auto"/>
                  <w:shd w:val="clear" w:color="auto" w:fill="E2EFD9" w:themeFill="accent6" w:themeFillTint="33"/>
                </w:tcPr>
                <w:p w14:paraId="6684A16F" w14:textId="77777777" w:rsidR="007D5419" w:rsidRPr="0097044B" w:rsidRDefault="00B9230B" w:rsidP="00115A49">
                  <w:pPr>
                    <w:rPr>
                      <w:rFonts w:eastAsia="Calibri" w:cs="Calibri"/>
                      <w:lang w:val="fr-FR"/>
                    </w:rPr>
                  </w:pPr>
                  <w:r>
                    <w:rPr>
                      <w:rFonts w:eastAsiaTheme="majorEastAsia" w:cstheme="majorBidi"/>
                      <w:lang w:val="fr-FR"/>
                    </w:rPr>
                    <w:t>Cartographie et évaluation des OCB</w:t>
                  </w:r>
                  <w:r w:rsidRPr="00F21AF9">
                    <w:rPr>
                      <w:rFonts w:eastAsiaTheme="majorEastAsia" w:cstheme="majorBidi"/>
                      <w:lang w:val="fr-CA"/>
                    </w:rPr>
                    <w:t>/</w:t>
                  </w:r>
                  <w:r w:rsidRPr="0076201B">
                    <w:rPr>
                      <w:rFonts w:eastAsiaTheme="majorEastAsia" w:cstheme="majorBidi"/>
                      <w:lang w:val="fr-FR"/>
                    </w:rPr>
                    <w:t xml:space="preserve"> propositions pour </w:t>
                  </w:r>
                  <w:r w:rsidRPr="00E93B57">
                    <w:rPr>
                      <w:rFonts w:eastAsiaTheme="majorEastAsia" w:cstheme="majorBidi"/>
                      <w:lang w:val="fr-FR"/>
                    </w:rPr>
                    <w:t>la formation de groupes consultatifs de la société civile</w:t>
                  </w:r>
                </w:p>
              </w:tc>
              <w:tc>
                <w:tcPr>
                  <w:tcW w:w="0" w:type="auto"/>
                  <w:shd w:val="clear" w:color="auto" w:fill="E2EFD9" w:themeFill="accent6" w:themeFillTint="33"/>
                </w:tcPr>
                <w:p w14:paraId="0932047B" w14:textId="77777777" w:rsidR="007D5419" w:rsidRPr="0097044B" w:rsidRDefault="00F04852" w:rsidP="00CD2E40">
                  <w:pPr>
                    <w:rPr>
                      <w:rFonts w:eastAsia="Calibri" w:cs="Calibri"/>
                      <w:lang w:val="fr-FR"/>
                    </w:rPr>
                  </w:pPr>
                  <w:r>
                    <w:rPr>
                      <w:rFonts w:eastAsia="Calibri" w:cs="Calibri"/>
                      <w:lang w:val="fr-FR"/>
                    </w:rPr>
                    <w:t>5 jours</w:t>
                  </w:r>
                </w:p>
              </w:tc>
              <w:tc>
                <w:tcPr>
                  <w:tcW w:w="0" w:type="auto"/>
                  <w:shd w:val="clear" w:color="auto" w:fill="E2EFD9" w:themeFill="accent6" w:themeFillTint="33"/>
                </w:tcPr>
                <w:p w14:paraId="5EE29E66" w14:textId="77777777" w:rsidR="007D5419" w:rsidRPr="0097044B" w:rsidRDefault="00B9230B" w:rsidP="000D18C5">
                  <w:pPr>
                    <w:jc w:val="center"/>
                    <w:rPr>
                      <w:rFonts w:eastAsia="Calibri" w:cs="Calibri"/>
                      <w:lang w:val="fr-FR"/>
                    </w:rPr>
                  </w:pPr>
                  <w:r>
                    <w:rPr>
                      <w:rFonts w:eastAsia="Calibri" w:cs="Calibri"/>
                      <w:lang w:val="fr-FR"/>
                    </w:rPr>
                    <w:t>5%</w:t>
                  </w:r>
                </w:p>
              </w:tc>
              <w:tc>
                <w:tcPr>
                  <w:tcW w:w="0" w:type="auto"/>
                  <w:shd w:val="clear" w:color="auto" w:fill="E2EFD9" w:themeFill="accent6" w:themeFillTint="33"/>
                </w:tcPr>
                <w:p w14:paraId="36E3A657" w14:textId="77777777" w:rsidR="007D5419"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7D5419" w:rsidRPr="0097044B" w14:paraId="7519734F" w14:textId="77777777" w:rsidTr="005563A8">
              <w:tc>
                <w:tcPr>
                  <w:tcW w:w="0" w:type="auto"/>
                  <w:shd w:val="clear" w:color="auto" w:fill="E2EFD9" w:themeFill="accent6" w:themeFillTint="33"/>
                </w:tcPr>
                <w:p w14:paraId="507FA8B4" w14:textId="77777777" w:rsidR="007D5419" w:rsidRPr="0097044B" w:rsidRDefault="007D5419" w:rsidP="00115A49">
                  <w:pPr>
                    <w:rPr>
                      <w:rFonts w:eastAsia="Calibri" w:cs="Calibri"/>
                      <w:lang w:val="fr-FR"/>
                    </w:rPr>
                  </w:pPr>
                  <w:r>
                    <w:rPr>
                      <w:rFonts w:eastAsia="Times New Roman" w:cs="Times New Roman"/>
                      <w:lang w:val="fr-CA"/>
                    </w:rPr>
                    <w:t>Rapport d’</w:t>
                  </w:r>
                  <w:proofErr w:type="spellStart"/>
                  <w:r>
                    <w:rPr>
                      <w:rFonts w:eastAsia="Times New Roman" w:cs="Times New Roman"/>
                      <w:lang w:val="fr-CA"/>
                    </w:rPr>
                    <w:t>activit</w:t>
                  </w:r>
                  <w:r>
                    <w:rPr>
                      <w:rFonts w:eastAsia="Times New Roman" w:cs="Times New Roman"/>
                      <w:lang w:val="fr-FR"/>
                    </w:rPr>
                    <w:t>és</w:t>
                  </w:r>
                  <w:proofErr w:type="spellEnd"/>
                  <w:r w:rsidRPr="0076201B">
                    <w:rPr>
                      <w:rFonts w:eastAsia="Times New Roman" w:cs="Times New Roman"/>
                      <w:lang w:val="fr-CA"/>
                    </w:rPr>
                    <w:t>, y compris la liste et les coordonnées des participants, les résultats des activités et les recommandations à suivre</w:t>
                  </w:r>
                </w:p>
              </w:tc>
              <w:tc>
                <w:tcPr>
                  <w:tcW w:w="0" w:type="auto"/>
                  <w:shd w:val="clear" w:color="auto" w:fill="E2EFD9" w:themeFill="accent6" w:themeFillTint="33"/>
                </w:tcPr>
                <w:p w14:paraId="4C77EFC2" w14:textId="77777777" w:rsidR="007D5419" w:rsidRPr="0097044B" w:rsidRDefault="00F04852" w:rsidP="00CD2E40">
                  <w:pPr>
                    <w:rPr>
                      <w:rFonts w:eastAsia="Calibri" w:cs="Calibri"/>
                      <w:lang w:val="fr-FR"/>
                    </w:rPr>
                  </w:pPr>
                  <w:r>
                    <w:rPr>
                      <w:rFonts w:eastAsia="Calibri" w:cs="Calibri"/>
                      <w:lang w:val="fr-FR"/>
                    </w:rPr>
                    <w:t>10 jours</w:t>
                  </w:r>
                </w:p>
              </w:tc>
              <w:tc>
                <w:tcPr>
                  <w:tcW w:w="0" w:type="auto"/>
                  <w:shd w:val="clear" w:color="auto" w:fill="E2EFD9" w:themeFill="accent6" w:themeFillTint="33"/>
                </w:tcPr>
                <w:p w14:paraId="3035D4AC" w14:textId="77777777" w:rsidR="007D5419" w:rsidRPr="0097044B" w:rsidRDefault="00B9230B" w:rsidP="000D18C5">
                  <w:pPr>
                    <w:jc w:val="center"/>
                    <w:rPr>
                      <w:rFonts w:eastAsia="Calibri" w:cs="Calibri"/>
                      <w:lang w:val="fr-FR"/>
                    </w:rPr>
                  </w:pPr>
                  <w:r>
                    <w:rPr>
                      <w:rFonts w:eastAsia="Calibri" w:cs="Calibri"/>
                      <w:lang w:val="fr-FR"/>
                    </w:rPr>
                    <w:t>15%</w:t>
                  </w:r>
                </w:p>
              </w:tc>
              <w:tc>
                <w:tcPr>
                  <w:tcW w:w="0" w:type="auto"/>
                  <w:shd w:val="clear" w:color="auto" w:fill="E2EFD9" w:themeFill="accent6" w:themeFillTint="33"/>
                </w:tcPr>
                <w:p w14:paraId="1C2C933E" w14:textId="77777777" w:rsidR="007D5419"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CD2E40" w:rsidRPr="0097044B" w14:paraId="27DEDB11" w14:textId="77777777" w:rsidTr="005563A8">
              <w:tc>
                <w:tcPr>
                  <w:tcW w:w="0" w:type="auto"/>
                  <w:gridSpan w:val="4"/>
                  <w:shd w:val="clear" w:color="auto" w:fill="FFE599" w:themeFill="accent4" w:themeFillTint="66"/>
                </w:tcPr>
                <w:p w14:paraId="6C6989F8" w14:textId="77777777" w:rsidR="00CD2E40" w:rsidRPr="00DE4D15" w:rsidRDefault="007D5419" w:rsidP="000D18C5">
                  <w:pPr>
                    <w:jc w:val="center"/>
                    <w:rPr>
                      <w:rFonts w:eastAsia="Calibri" w:cs="Calibri"/>
                      <w:b/>
                      <w:lang w:val="fr-FR"/>
                    </w:rPr>
                  </w:pPr>
                  <w:r w:rsidRPr="00DE4D15">
                    <w:rPr>
                      <w:rFonts w:eastAsia="Calibri" w:cs="Calibri"/>
                      <w:b/>
                      <w:lang w:val="fr-FR"/>
                    </w:rPr>
                    <w:t xml:space="preserve">Commune de </w:t>
                  </w:r>
                  <w:r w:rsidR="00DE4D15" w:rsidRPr="00DE4D15">
                    <w:rPr>
                      <w:rFonts w:eastAsia="Calibri" w:cs="Calibri"/>
                      <w:b/>
                      <w:lang w:val="fr-FR"/>
                    </w:rPr>
                    <w:t>Dame Marie</w:t>
                  </w:r>
                </w:p>
              </w:tc>
            </w:tr>
            <w:tr w:rsidR="007D5419" w:rsidRPr="0097044B" w14:paraId="1AEC74DE" w14:textId="77777777" w:rsidTr="005563A8">
              <w:tc>
                <w:tcPr>
                  <w:tcW w:w="0" w:type="auto"/>
                  <w:shd w:val="clear" w:color="auto" w:fill="FFF2CC" w:themeFill="accent4" w:themeFillTint="33"/>
                </w:tcPr>
                <w:p w14:paraId="2B86EB47" w14:textId="77777777" w:rsidR="007D5419" w:rsidRPr="0097044B" w:rsidRDefault="007D5419" w:rsidP="00115A49">
                  <w:pPr>
                    <w:rPr>
                      <w:rFonts w:eastAsia="Calibri" w:cs="Calibri"/>
                      <w:lang w:val="fr-FR"/>
                    </w:rPr>
                  </w:pPr>
                  <w:r>
                    <w:rPr>
                      <w:rFonts w:eastAsiaTheme="majorEastAsia" w:cstheme="majorBidi"/>
                      <w:lang w:val="fr-FR"/>
                    </w:rPr>
                    <w:t xml:space="preserve">Cartographie </w:t>
                  </w:r>
                  <w:r w:rsidR="00B9230B">
                    <w:rPr>
                      <w:rFonts w:eastAsiaTheme="majorEastAsia" w:cstheme="majorBidi"/>
                      <w:lang w:val="fr-FR"/>
                    </w:rPr>
                    <w:t xml:space="preserve">et évaluation </w:t>
                  </w:r>
                  <w:r>
                    <w:rPr>
                      <w:rFonts w:eastAsiaTheme="majorEastAsia" w:cstheme="majorBidi"/>
                      <w:lang w:val="fr-FR"/>
                    </w:rPr>
                    <w:t>des OCB</w:t>
                  </w:r>
                  <w:r w:rsidRPr="00F21AF9">
                    <w:rPr>
                      <w:rFonts w:eastAsiaTheme="majorEastAsia" w:cstheme="majorBidi"/>
                      <w:lang w:val="fr-CA"/>
                    </w:rPr>
                    <w:t>/</w:t>
                  </w:r>
                  <w:r w:rsidRPr="0076201B">
                    <w:rPr>
                      <w:rFonts w:eastAsiaTheme="majorEastAsia" w:cstheme="majorBidi"/>
                      <w:lang w:val="fr-FR"/>
                    </w:rPr>
                    <w:t xml:space="preserve"> propositions pour </w:t>
                  </w:r>
                  <w:r w:rsidRPr="00E93B57">
                    <w:rPr>
                      <w:rFonts w:eastAsiaTheme="majorEastAsia" w:cstheme="majorBidi"/>
                      <w:lang w:val="fr-FR"/>
                    </w:rPr>
                    <w:t>la formation de groupes consultatifs de la société civile</w:t>
                  </w:r>
                </w:p>
              </w:tc>
              <w:tc>
                <w:tcPr>
                  <w:tcW w:w="0" w:type="auto"/>
                  <w:shd w:val="clear" w:color="auto" w:fill="FFF2CC" w:themeFill="accent4" w:themeFillTint="33"/>
                </w:tcPr>
                <w:p w14:paraId="71FCBCEF" w14:textId="77777777" w:rsidR="007D5419" w:rsidRPr="0097044B" w:rsidRDefault="00F04852" w:rsidP="00CD2E40">
                  <w:pPr>
                    <w:rPr>
                      <w:rFonts w:eastAsia="Calibri" w:cs="Calibri"/>
                      <w:lang w:val="fr-FR"/>
                    </w:rPr>
                  </w:pPr>
                  <w:r>
                    <w:rPr>
                      <w:rFonts w:eastAsia="Calibri" w:cs="Calibri"/>
                      <w:lang w:val="fr-FR"/>
                    </w:rPr>
                    <w:t>5 jours</w:t>
                  </w:r>
                </w:p>
              </w:tc>
              <w:tc>
                <w:tcPr>
                  <w:tcW w:w="0" w:type="auto"/>
                  <w:shd w:val="clear" w:color="auto" w:fill="FFF2CC" w:themeFill="accent4" w:themeFillTint="33"/>
                </w:tcPr>
                <w:p w14:paraId="07E91B3B" w14:textId="77777777" w:rsidR="007D5419" w:rsidRPr="0097044B" w:rsidRDefault="00B9230B" w:rsidP="000D18C5">
                  <w:pPr>
                    <w:jc w:val="center"/>
                    <w:rPr>
                      <w:rFonts w:eastAsia="Calibri" w:cs="Calibri"/>
                      <w:lang w:val="fr-FR"/>
                    </w:rPr>
                  </w:pPr>
                  <w:r>
                    <w:rPr>
                      <w:rFonts w:eastAsia="Calibri" w:cs="Calibri"/>
                      <w:lang w:val="fr-FR"/>
                    </w:rPr>
                    <w:t>5%</w:t>
                  </w:r>
                </w:p>
              </w:tc>
              <w:tc>
                <w:tcPr>
                  <w:tcW w:w="0" w:type="auto"/>
                  <w:shd w:val="clear" w:color="auto" w:fill="FFF2CC" w:themeFill="accent4" w:themeFillTint="33"/>
                </w:tcPr>
                <w:p w14:paraId="14C66A66" w14:textId="77777777" w:rsidR="007D5419"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7D5419" w:rsidRPr="0097044B" w14:paraId="042141FC" w14:textId="77777777" w:rsidTr="005563A8">
              <w:tc>
                <w:tcPr>
                  <w:tcW w:w="0" w:type="auto"/>
                  <w:shd w:val="clear" w:color="auto" w:fill="FFF2CC" w:themeFill="accent4" w:themeFillTint="33"/>
                </w:tcPr>
                <w:p w14:paraId="7C4C29C2" w14:textId="77777777" w:rsidR="007D5419" w:rsidRPr="0097044B" w:rsidRDefault="007D5419" w:rsidP="00115A49">
                  <w:pPr>
                    <w:rPr>
                      <w:rFonts w:eastAsia="Calibri" w:cs="Calibri"/>
                      <w:lang w:val="fr-FR"/>
                    </w:rPr>
                  </w:pPr>
                  <w:r>
                    <w:rPr>
                      <w:rFonts w:eastAsia="Times New Roman" w:cs="Times New Roman"/>
                      <w:lang w:val="fr-CA"/>
                    </w:rPr>
                    <w:t>Rapport d’</w:t>
                  </w:r>
                  <w:proofErr w:type="spellStart"/>
                  <w:r>
                    <w:rPr>
                      <w:rFonts w:eastAsia="Times New Roman" w:cs="Times New Roman"/>
                      <w:lang w:val="fr-CA"/>
                    </w:rPr>
                    <w:t>activit</w:t>
                  </w:r>
                  <w:r>
                    <w:rPr>
                      <w:rFonts w:eastAsia="Times New Roman" w:cs="Times New Roman"/>
                      <w:lang w:val="fr-FR"/>
                    </w:rPr>
                    <w:t>és</w:t>
                  </w:r>
                  <w:proofErr w:type="spellEnd"/>
                  <w:r w:rsidRPr="0076201B">
                    <w:rPr>
                      <w:rFonts w:eastAsia="Times New Roman" w:cs="Times New Roman"/>
                      <w:lang w:val="fr-CA"/>
                    </w:rPr>
                    <w:t>, y compris la liste et les coordonnées des participants, les résultats des activités et les recommandations à suivre</w:t>
                  </w:r>
                </w:p>
              </w:tc>
              <w:tc>
                <w:tcPr>
                  <w:tcW w:w="0" w:type="auto"/>
                  <w:shd w:val="clear" w:color="auto" w:fill="FFF2CC" w:themeFill="accent4" w:themeFillTint="33"/>
                </w:tcPr>
                <w:p w14:paraId="10EAF1C3" w14:textId="77777777" w:rsidR="007D5419" w:rsidRPr="0097044B" w:rsidRDefault="00F04852" w:rsidP="00CD2E40">
                  <w:pPr>
                    <w:rPr>
                      <w:rFonts w:eastAsia="Calibri" w:cs="Calibri"/>
                      <w:lang w:val="fr-FR"/>
                    </w:rPr>
                  </w:pPr>
                  <w:r>
                    <w:rPr>
                      <w:rFonts w:eastAsia="Calibri" w:cs="Calibri"/>
                      <w:lang w:val="fr-FR"/>
                    </w:rPr>
                    <w:t>10 jours</w:t>
                  </w:r>
                </w:p>
              </w:tc>
              <w:tc>
                <w:tcPr>
                  <w:tcW w:w="0" w:type="auto"/>
                  <w:shd w:val="clear" w:color="auto" w:fill="FFF2CC" w:themeFill="accent4" w:themeFillTint="33"/>
                </w:tcPr>
                <w:p w14:paraId="20498A1A" w14:textId="77777777" w:rsidR="007D5419" w:rsidRPr="0097044B" w:rsidRDefault="00B9230B" w:rsidP="000D18C5">
                  <w:pPr>
                    <w:jc w:val="center"/>
                    <w:rPr>
                      <w:rFonts w:eastAsia="Calibri" w:cs="Calibri"/>
                      <w:lang w:val="fr-FR"/>
                    </w:rPr>
                  </w:pPr>
                  <w:r>
                    <w:rPr>
                      <w:rFonts w:eastAsia="Calibri" w:cs="Calibri"/>
                      <w:lang w:val="fr-FR"/>
                    </w:rPr>
                    <w:t>15%</w:t>
                  </w:r>
                </w:p>
              </w:tc>
              <w:tc>
                <w:tcPr>
                  <w:tcW w:w="0" w:type="auto"/>
                  <w:shd w:val="clear" w:color="auto" w:fill="FFF2CC" w:themeFill="accent4" w:themeFillTint="33"/>
                </w:tcPr>
                <w:p w14:paraId="4043CD21" w14:textId="77777777" w:rsidR="007D5419"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CD2E40" w:rsidRPr="0097044B" w14:paraId="437C637B" w14:textId="77777777" w:rsidTr="005563A8">
              <w:tc>
                <w:tcPr>
                  <w:tcW w:w="0" w:type="auto"/>
                  <w:gridSpan w:val="4"/>
                  <w:shd w:val="clear" w:color="auto" w:fill="F7CAAC" w:themeFill="accent2" w:themeFillTint="66"/>
                </w:tcPr>
                <w:p w14:paraId="0AED0F9B" w14:textId="77777777" w:rsidR="00CD2E40" w:rsidRPr="007D5419" w:rsidRDefault="007D5419" w:rsidP="000D18C5">
                  <w:pPr>
                    <w:jc w:val="center"/>
                    <w:rPr>
                      <w:rFonts w:eastAsia="Calibri" w:cs="Calibri"/>
                      <w:b/>
                      <w:lang w:val="fr-FR"/>
                    </w:rPr>
                  </w:pPr>
                  <w:r w:rsidRPr="007D5419">
                    <w:rPr>
                      <w:rFonts w:eastAsia="Calibri" w:cs="Calibri"/>
                      <w:b/>
                      <w:lang w:val="fr-FR"/>
                    </w:rPr>
                    <w:t>Commune de Moron</w:t>
                  </w:r>
                </w:p>
              </w:tc>
            </w:tr>
            <w:tr w:rsidR="007D5419" w:rsidRPr="0097044B" w14:paraId="2E9493CB" w14:textId="77777777" w:rsidTr="005563A8">
              <w:tc>
                <w:tcPr>
                  <w:tcW w:w="0" w:type="auto"/>
                  <w:shd w:val="clear" w:color="auto" w:fill="FBE4D5" w:themeFill="accent2" w:themeFillTint="33"/>
                </w:tcPr>
                <w:p w14:paraId="16014C0A" w14:textId="77777777" w:rsidR="007D5419" w:rsidRPr="0097044B" w:rsidRDefault="00B9230B" w:rsidP="00115A49">
                  <w:pPr>
                    <w:rPr>
                      <w:rFonts w:eastAsia="Calibri" w:cs="Calibri"/>
                      <w:lang w:val="fr-FR"/>
                    </w:rPr>
                  </w:pPr>
                  <w:r>
                    <w:rPr>
                      <w:rFonts w:eastAsiaTheme="majorEastAsia" w:cstheme="majorBidi"/>
                      <w:lang w:val="fr-FR"/>
                    </w:rPr>
                    <w:t>Cartographie et évaluation des OCB</w:t>
                  </w:r>
                  <w:r w:rsidRPr="00F21AF9">
                    <w:rPr>
                      <w:rFonts w:eastAsiaTheme="majorEastAsia" w:cstheme="majorBidi"/>
                      <w:lang w:val="fr-CA"/>
                    </w:rPr>
                    <w:t>/</w:t>
                  </w:r>
                  <w:r w:rsidRPr="0076201B">
                    <w:rPr>
                      <w:rFonts w:eastAsiaTheme="majorEastAsia" w:cstheme="majorBidi"/>
                      <w:lang w:val="fr-FR"/>
                    </w:rPr>
                    <w:t xml:space="preserve"> propositions pour </w:t>
                  </w:r>
                  <w:r w:rsidRPr="00E93B57">
                    <w:rPr>
                      <w:rFonts w:eastAsiaTheme="majorEastAsia" w:cstheme="majorBidi"/>
                      <w:lang w:val="fr-FR"/>
                    </w:rPr>
                    <w:t>la formation de groupes consultatifs de la société civile</w:t>
                  </w:r>
                </w:p>
              </w:tc>
              <w:tc>
                <w:tcPr>
                  <w:tcW w:w="0" w:type="auto"/>
                  <w:shd w:val="clear" w:color="auto" w:fill="FBE4D5" w:themeFill="accent2" w:themeFillTint="33"/>
                </w:tcPr>
                <w:p w14:paraId="4ACED3C1" w14:textId="77777777" w:rsidR="007D5419" w:rsidRPr="0097044B" w:rsidRDefault="00F04852" w:rsidP="00CD2E40">
                  <w:pPr>
                    <w:rPr>
                      <w:rFonts w:eastAsia="Calibri" w:cs="Calibri"/>
                      <w:lang w:val="fr-FR"/>
                    </w:rPr>
                  </w:pPr>
                  <w:r>
                    <w:rPr>
                      <w:rFonts w:eastAsia="Calibri" w:cs="Calibri"/>
                      <w:lang w:val="fr-FR"/>
                    </w:rPr>
                    <w:t>5 jours</w:t>
                  </w:r>
                </w:p>
              </w:tc>
              <w:tc>
                <w:tcPr>
                  <w:tcW w:w="0" w:type="auto"/>
                  <w:shd w:val="clear" w:color="auto" w:fill="FBE4D5" w:themeFill="accent2" w:themeFillTint="33"/>
                </w:tcPr>
                <w:p w14:paraId="7B9E6ED2" w14:textId="77777777" w:rsidR="007D5419" w:rsidRPr="0097044B" w:rsidRDefault="00B9230B" w:rsidP="000D18C5">
                  <w:pPr>
                    <w:jc w:val="center"/>
                    <w:rPr>
                      <w:rFonts w:eastAsia="Calibri" w:cs="Calibri"/>
                      <w:lang w:val="fr-FR"/>
                    </w:rPr>
                  </w:pPr>
                  <w:r>
                    <w:rPr>
                      <w:rFonts w:eastAsia="Calibri" w:cs="Calibri"/>
                      <w:lang w:val="fr-FR"/>
                    </w:rPr>
                    <w:t>5%</w:t>
                  </w:r>
                </w:p>
              </w:tc>
              <w:tc>
                <w:tcPr>
                  <w:tcW w:w="0" w:type="auto"/>
                  <w:shd w:val="clear" w:color="auto" w:fill="FBE4D5" w:themeFill="accent2" w:themeFillTint="33"/>
                </w:tcPr>
                <w:p w14:paraId="080E7B15" w14:textId="77777777" w:rsidR="007D5419"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7D5419" w:rsidRPr="0097044B" w14:paraId="0C7C8F69" w14:textId="77777777" w:rsidTr="005563A8">
              <w:tc>
                <w:tcPr>
                  <w:tcW w:w="0" w:type="auto"/>
                  <w:shd w:val="clear" w:color="auto" w:fill="FBE4D5" w:themeFill="accent2" w:themeFillTint="33"/>
                </w:tcPr>
                <w:p w14:paraId="14F6B14F" w14:textId="77777777" w:rsidR="007D5419" w:rsidRPr="0097044B" w:rsidRDefault="007D5419" w:rsidP="00115A49">
                  <w:pPr>
                    <w:rPr>
                      <w:rFonts w:eastAsia="Calibri" w:cs="Calibri"/>
                      <w:lang w:val="fr-FR"/>
                    </w:rPr>
                  </w:pPr>
                  <w:r>
                    <w:rPr>
                      <w:rFonts w:eastAsia="Times New Roman" w:cs="Times New Roman"/>
                      <w:lang w:val="fr-CA"/>
                    </w:rPr>
                    <w:t>Rapport d’</w:t>
                  </w:r>
                  <w:proofErr w:type="spellStart"/>
                  <w:r>
                    <w:rPr>
                      <w:rFonts w:eastAsia="Times New Roman" w:cs="Times New Roman"/>
                      <w:lang w:val="fr-CA"/>
                    </w:rPr>
                    <w:t>activit</w:t>
                  </w:r>
                  <w:r>
                    <w:rPr>
                      <w:rFonts w:eastAsia="Times New Roman" w:cs="Times New Roman"/>
                      <w:lang w:val="fr-FR"/>
                    </w:rPr>
                    <w:t>és</w:t>
                  </w:r>
                  <w:proofErr w:type="spellEnd"/>
                  <w:r w:rsidRPr="0076201B">
                    <w:rPr>
                      <w:rFonts w:eastAsia="Times New Roman" w:cs="Times New Roman"/>
                      <w:lang w:val="fr-CA"/>
                    </w:rPr>
                    <w:t>, y compris la liste et les coordonnées des participants, les résultats des activités et les recommandations à suivre</w:t>
                  </w:r>
                </w:p>
              </w:tc>
              <w:tc>
                <w:tcPr>
                  <w:tcW w:w="0" w:type="auto"/>
                  <w:shd w:val="clear" w:color="auto" w:fill="FBE4D5" w:themeFill="accent2" w:themeFillTint="33"/>
                </w:tcPr>
                <w:p w14:paraId="56FCE004" w14:textId="77777777" w:rsidR="007D5419" w:rsidRPr="0097044B" w:rsidRDefault="00F04852" w:rsidP="00CD2E40">
                  <w:pPr>
                    <w:rPr>
                      <w:rFonts w:eastAsia="Calibri" w:cs="Calibri"/>
                      <w:lang w:val="fr-FR"/>
                    </w:rPr>
                  </w:pPr>
                  <w:r>
                    <w:rPr>
                      <w:rFonts w:eastAsia="Calibri" w:cs="Calibri"/>
                      <w:lang w:val="fr-FR"/>
                    </w:rPr>
                    <w:t>10 jours</w:t>
                  </w:r>
                </w:p>
              </w:tc>
              <w:tc>
                <w:tcPr>
                  <w:tcW w:w="0" w:type="auto"/>
                  <w:shd w:val="clear" w:color="auto" w:fill="FBE4D5" w:themeFill="accent2" w:themeFillTint="33"/>
                </w:tcPr>
                <w:p w14:paraId="3E2ADBC2" w14:textId="77777777" w:rsidR="007D5419" w:rsidRPr="0097044B" w:rsidRDefault="00B9230B" w:rsidP="000D18C5">
                  <w:pPr>
                    <w:jc w:val="center"/>
                    <w:rPr>
                      <w:rFonts w:eastAsia="Calibri" w:cs="Calibri"/>
                      <w:lang w:val="fr-FR"/>
                    </w:rPr>
                  </w:pPr>
                  <w:r>
                    <w:rPr>
                      <w:rFonts w:eastAsia="Calibri" w:cs="Calibri"/>
                      <w:lang w:val="fr-FR"/>
                    </w:rPr>
                    <w:t>15%</w:t>
                  </w:r>
                </w:p>
              </w:tc>
              <w:tc>
                <w:tcPr>
                  <w:tcW w:w="0" w:type="auto"/>
                  <w:shd w:val="clear" w:color="auto" w:fill="FBE4D5" w:themeFill="accent2" w:themeFillTint="33"/>
                </w:tcPr>
                <w:p w14:paraId="0D3D874F" w14:textId="77777777" w:rsidR="007D5419"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DE4D15" w:rsidRPr="0097044B" w14:paraId="202D0CA1" w14:textId="77777777" w:rsidTr="005563A8">
              <w:tc>
                <w:tcPr>
                  <w:tcW w:w="0" w:type="auto"/>
                  <w:gridSpan w:val="4"/>
                  <w:shd w:val="clear" w:color="auto" w:fill="AEAAAA" w:themeFill="background2" w:themeFillShade="BF"/>
                </w:tcPr>
                <w:p w14:paraId="21965AFB" w14:textId="77777777" w:rsidR="00DE4D15" w:rsidRPr="004957F2" w:rsidRDefault="00DE4D15" w:rsidP="000D18C5">
                  <w:pPr>
                    <w:jc w:val="center"/>
                    <w:rPr>
                      <w:rFonts w:eastAsia="Calibri" w:cs="Calibri"/>
                      <w:sz w:val="6"/>
                      <w:szCs w:val="6"/>
                      <w:lang w:val="fr-FR"/>
                    </w:rPr>
                  </w:pPr>
                </w:p>
              </w:tc>
            </w:tr>
            <w:tr w:rsidR="003B0DE6" w:rsidRPr="0097044B" w14:paraId="6894CF83" w14:textId="77777777" w:rsidTr="005563A8">
              <w:tc>
                <w:tcPr>
                  <w:tcW w:w="0" w:type="auto"/>
                  <w:shd w:val="clear" w:color="auto" w:fill="E7E6E6" w:themeFill="background2"/>
                </w:tcPr>
                <w:p w14:paraId="7B4A2DDD" w14:textId="77777777" w:rsidR="003B0DE6" w:rsidRPr="0097044B" w:rsidRDefault="003B0DE6" w:rsidP="00115A49">
                  <w:pPr>
                    <w:rPr>
                      <w:rFonts w:eastAsia="Calibri" w:cs="Calibri"/>
                      <w:lang w:val="fr-FR"/>
                    </w:rPr>
                  </w:pPr>
                  <w:r w:rsidRPr="0076201B">
                    <w:rPr>
                      <w:rFonts w:eastAsia="Times New Roman" w:cs="Times New Roman"/>
                      <w:lang w:val="fr-CA"/>
                    </w:rPr>
                    <w:t>Un rapport final résumant les leçons tirées des activités facilitées pour l’approche à l’inclusion du projet, et une proposition sur la marche à suivre pour la réplication des activités dans d'autres communes et départements cibles.</w:t>
                  </w:r>
                </w:p>
              </w:tc>
              <w:tc>
                <w:tcPr>
                  <w:tcW w:w="0" w:type="auto"/>
                  <w:shd w:val="clear" w:color="auto" w:fill="E7E6E6" w:themeFill="background2"/>
                </w:tcPr>
                <w:p w14:paraId="67CE6C05" w14:textId="77777777" w:rsidR="003B0DE6" w:rsidRPr="0097044B" w:rsidRDefault="003B0DE6" w:rsidP="00115A49">
                  <w:pPr>
                    <w:rPr>
                      <w:rFonts w:eastAsia="Calibri" w:cs="Calibri"/>
                      <w:lang w:val="fr-FR"/>
                    </w:rPr>
                  </w:pPr>
                  <w:r w:rsidRPr="0097044B">
                    <w:rPr>
                      <w:rFonts w:eastAsia="Calibri" w:cs="Calibri"/>
                      <w:lang w:val="fr-FR"/>
                    </w:rPr>
                    <w:t>10 jours</w:t>
                  </w:r>
                </w:p>
                <w:p w14:paraId="7512FC04" w14:textId="77777777" w:rsidR="003B0DE6" w:rsidRPr="0097044B" w:rsidRDefault="003B0DE6" w:rsidP="00115A49">
                  <w:pPr>
                    <w:rPr>
                      <w:rFonts w:eastAsia="Calibri" w:cs="Calibri"/>
                      <w:lang w:val="fr-FR"/>
                    </w:rPr>
                  </w:pPr>
                </w:p>
              </w:tc>
              <w:tc>
                <w:tcPr>
                  <w:tcW w:w="0" w:type="auto"/>
                  <w:shd w:val="clear" w:color="auto" w:fill="E7E6E6" w:themeFill="background2"/>
                </w:tcPr>
                <w:p w14:paraId="745B1D7C" w14:textId="77777777" w:rsidR="003B0DE6" w:rsidRPr="0097044B" w:rsidRDefault="001200B7" w:rsidP="000D18C5">
                  <w:pPr>
                    <w:jc w:val="center"/>
                    <w:rPr>
                      <w:rFonts w:eastAsia="Calibri" w:cs="Calibri"/>
                      <w:lang w:val="fr-FR"/>
                    </w:rPr>
                  </w:pPr>
                  <w:r>
                    <w:rPr>
                      <w:rFonts w:eastAsia="Calibri" w:cs="Calibri"/>
                      <w:lang w:val="fr-FR"/>
                    </w:rPr>
                    <w:t>15%</w:t>
                  </w:r>
                </w:p>
              </w:tc>
              <w:tc>
                <w:tcPr>
                  <w:tcW w:w="0" w:type="auto"/>
                  <w:shd w:val="clear" w:color="auto" w:fill="E7E6E6" w:themeFill="background2"/>
                </w:tcPr>
                <w:p w14:paraId="66871DF3" w14:textId="77777777" w:rsidR="003B0DE6" w:rsidRPr="0097044B" w:rsidRDefault="005563A8" w:rsidP="00115A49">
                  <w:pPr>
                    <w:rPr>
                      <w:rFonts w:eastAsia="Calibri" w:cs="Calibri"/>
                      <w:lang w:val="fr-FR"/>
                    </w:rPr>
                  </w:pPr>
                  <w:r w:rsidRPr="0097044B">
                    <w:rPr>
                      <w:rFonts w:eastAsia="Calibri" w:cs="Calibri"/>
                      <w:lang w:val="fr-FR"/>
                    </w:rPr>
                    <w:t>UNDP</w:t>
                  </w:r>
                  <w:r>
                    <w:rPr>
                      <w:rFonts w:eastAsia="Calibri" w:cs="Calibri"/>
                      <w:lang w:val="fr-FR"/>
                    </w:rPr>
                    <w:t>-Haïti</w:t>
                  </w:r>
                </w:p>
              </w:tc>
            </w:tr>
            <w:tr w:rsidR="001200B7" w:rsidRPr="0097044B" w14:paraId="3731C200" w14:textId="77777777" w:rsidTr="005563A8">
              <w:tc>
                <w:tcPr>
                  <w:tcW w:w="0" w:type="auto"/>
                  <w:shd w:val="clear" w:color="auto" w:fill="AEAAAA" w:themeFill="background2" w:themeFillShade="BF"/>
                </w:tcPr>
                <w:p w14:paraId="2FE9C56F" w14:textId="77777777" w:rsidR="001200B7" w:rsidRPr="00F04852" w:rsidRDefault="001200B7" w:rsidP="001200B7">
                  <w:pPr>
                    <w:jc w:val="center"/>
                    <w:rPr>
                      <w:rFonts w:eastAsia="Times New Roman" w:cs="Times New Roman"/>
                      <w:b/>
                      <w:lang w:val="fr-CA"/>
                    </w:rPr>
                  </w:pPr>
                  <w:r w:rsidRPr="00F04852">
                    <w:rPr>
                      <w:rFonts w:eastAsia="Times New Roman" w:cs="Times New Roman"/>
                      <w:b/>
                      <w:lang w:val="fr-CA"/>
                    </w:rPr>
                    <w:t>TOTAL</w:t>
                  </w:r>
                </w:p>
              </w:tc>
              <w:tc>
                <w:tcPr>
                  <w:tcW w:w="0" w:type="auto"/>
                  <w:shd w:val="clear" w:color="auto" w:fill="AEAAAA" w:themeFill="background2" w:themeFillShade="BF"/>
                </w:tcPr>
                <w:p w14:paraId="3647FBEE" w14:textId="77777777" w:rsidR="001200B7" w:rsidRPr="00F04852" w:rsidRDefault="001200B7" w:rsidP="001200B7">
                  <w:pPr>
                    <w:jc w:val="center"/>
                    <w:rPr>
                      <w:rFonts w:eastAsia="Calibri" w:cs="Calibri"/>
                      <w:b/>
                      <w:lang w:val="fr-FR"/>
                    </w:rPr>
                  </w:pPr>
                  <w:r w:rsidRPr="00F04852">
                    <w:rPr>
                      <w:rFonts w:eastAsia="Calibri" w:cs="Calibri"/>
                      <w:b/>
                      <w:lang w:val="fr-FR"/>
                    </w:rPr>
                    <w:t>75 jours</w:t>
                  </w:r>
                </w:p>
              </w:tc>
              <w:tc>
                <w:tcPr>
                  <w:tcW w:w="0" w:type="auto"/>
                  <w:gridSpan w:val="2"/>
                  <w:shd w:val="clear" w:color="auto" w:fill="AEAAAA" w:themeFill="background2" w:themeFillShade="BF"/>
                </w:tcPr>
                <w:p w14:paraId="0298B3AE" w14:textId="77777777" w:rsidR="001200B7" w:rsidRPr="00F04852" w:rsidRDefault="001200B7" w:rsidP="000D18C5">
                  <w:pPr>
                    <w:jc w:val="center"/>
                    <w:rPr>
                      <w:rFonts w:eastAsia="Calibri" w:cs="Calibri"/>
                      <w:b/>
                      <w:lang w:val="fr-FR"/>
                    </w:rPr>
                  </w:pPr>
                  <w:r w:rsidRPr="00F04852">
                    <w:rPr>
                      <w:rFonts w:eastAsia="Calibri" w:cs="Calibri"/>
                      <w:b/>
                      <w:lang w:val="fr-FR"/>
                    </w:rPr>
                    <w:t>100%</w:t>
                  </w:r>
                </w:p>
              </w:tc>
            </w:tr>
          </w:tbl>
          <w:p w14:paraId="0AEC3ECA" w14:textId="77777777" w:rsidR="005563A8" w:rsidRPr="000D18C5" w:rsidRDefault="005563A8" w:rsidP="00686F93">
            <w:pPr>
              <w:pStyle w:val="Heading1"/>
              <w:numPr>
                <w:ilvl w:val="0"/>
                <w:numId w:val="14"/>
              </w:numPr>
              <w:spacing w:before="0"/>
              <w:ind w:left="0"/>
              <w:rPr>
                <w:rFonts w:asciiTheme="minorHAnsi" w:eastAsia="Calibri" w:hAnsiTheme="minorHAnsi" w:cs="Calibri"/>
                <w:sz w:val="22"/>
                <w:szCs w:val="22"/>
                <w:lang w:val="fr-FR"/>
              </w:rPr>
            </w:pPr>
          </w:p>
          <w:p w14:paraId="24318C1F" w14:textId="77777777" w:rsidR="00EE48EB" w:rsidRPr="00686F93" w:rsidRDefault="00686F93" w:rsidP="00686F93">
            <w:pPr>
              <w:pStyle w:val="Heading3"/>
              <w:rPr>
                <w:rFonts w:eastAsia="Calibri" w:cs="Calibri"/>
                <w:lang w:val="fr-FR"/>
              </w:rPr>
            </w:pPr>
            <w:r>
              <w:rPr>
                <w:lang w:val="fr-FR"/>
              </w:rPr>
              <w:t xml:space="preserve">X. </w:t>
            </w:r>
            <w:r w:rsidR="00EE48EB" w:rsidRPr="00686F93">
              <w:rPr>
                <w:lang w:val="fr-FR"/>
              </w:rPr>
              <w:t xml:space="preserve">EXIGENCES SPECIFIQUES </w:t>
            </w:r>
          </w:p>
          <w:p w14:paraId="1BD958B5" w14:textId="77777777" w:rsidR="00794998" w:rsidRPr="00794998" w:rsidRDefault="00794998" w:rsidP="00794998"/>
          <w:p w14:paraId="7C2CCA41" w14:textId="77777777" w:rsidR="00EE48EB" w:rsidRPr="00DA5A7D" w:rsidRDefault="00EE48EB" w:rsidP="00DA5A7D">
            <w:pPr>
              <w:pStyle w:val="p28"/>
              <w:numPr>
                <w:ilvl w:val="0"/>
                <w:numId w:val="30"/>
              </w:numPr>
              <w:tabs>
                <w:tab w:val="clear" w:pos="680"/>
                <w:tab w:val="clear" w:pos="1060"/>
              </w:tabs>
              <w:spacing w:line="240" w:lineRule="auto"/>
              <w:jc w:val="both"/>
              <w:rPr>
                <w:rFonts w:asciiTheme="minorHAnsi" w:hAnsiTheme="minorHAnsi"/>
                <w:bCs/>
                <w:sz w:val="22"/>
                <w:szCs w:val="22"/>
                <w:lang w:val="fr-FR"/>
              </w:rPr>
            </w:pPr>
            <w:r w:rsidRPr="00DA5A7D">
              <w:rPr>
                <w:rFonts w:asciiTheme="minorHAnsi" w:hAnsiTheme="minorHAnsi"/>
                <w:bCs/>
                <w:sz w:val="22"/>
                <w:szCs w:val="22"/>
                <w:lang w:val="fr-FR"/>
              </w:rPr>
              <w:t xml:space="preserve">Tout dépassement du temps imparti au livrables est la responsabilité de la firme et ne peut en aucun cas entrainer une variation du prix du contrat. </w:t>
            </w:r>
          </w:p>
          <w:p w14:paraId="5D5809C9" w14:textId="77777777" w:rsidR="00EE48EB" w:rsidRPr="00DA5A7D" w:rsidRDefault="00EE48EB" w:rsidP="00DA5A7D">
            <w:pPr>
              <w:pStyle w:val="ListParagraph"/>
              <w:numPr>
                <w:ilvl w:val="0"/>
                <w:numId w:val="30"/>
              </w:numPr>
              <w:spacing w:after="0" w:line="240" w:lineRule="auto"/>
              <w:jc w:val="both"/>
              <w:rPr>
                <w:lang w:val="fr-FR"/>
              </w:rPr>
            </w:pPr>
            <w:r w:rsidRPr="00DA5A7D">
              <w:rPr>
                <w:lang w:val="fr-FR"/>
              </w:rPr>
              <w:t>La proposition financière doit inclure les frais de déplacement et logistiques ;</w:t>
            </w:r>
          </w:p>
          <w:p w14:paraId="157C4CB3" w14:textId="77777777" w:rsidR="00EE48EB" w:rsidRPr="00DA5A7D" w:rsidRDefault="00EE48EB" w:rsidP="00DA5A7D">
            <w:pPr>
              <w:pStyle w:val="ListParagraph"/>
              <w:numPr>
                <w:ilvl w:val="0"/>
                <w:numId w:val="30"/>
              </w:numPr>
              <w:spacing w:after="0" w:line="240" w:lineRule="auto"/>
              <w:jc w:val="both"/>
              <w:rPr>
                <w:lang w:val="fr-FR"/>
              </w:rPr>
            </w:pPr>
            <w:r w:rsidRPr="00DA5A7D">
              <w:rPr>
                <w:lang w:val="fr-FR"/>
              </w:rPr>
              <w:t>L’organisation des ateliers, rencontres sur le terrain sont à la charge de la firme ;</w:t>
            </w:r>
          </w:p>
          <w:p w14:paraId="5C9718FC" w14:textId="77777777" w:rsidR="00EE48EB" w:rsidRPr="00DA5A7D" w:rsidRDefault="00EE48EB" w:rsidP="00DA5A7D">
            <w:pPr>
              <w:pStyle w:val="ListParagraph"/>
              <w:numPr>
                <w:ilvl w:val="0"/>
                <w:numId w:val="30"/>
              </w:numPr>
              <w:spacing w:after="0" w:line="240" w:lineRule="auto"/>
              <w:jc w:val="both"/>
              <w:rPr>
                <w:rFonts w:eastAsia="Calibri" w:cs="Calibri"/>
                <w:lang w:val="fr-FR"/>
              </w:rPr>
            </w:pPr>
            <w:r w:rsidRPr="00DA5A7D">
              <w:rPr>
                <w:rFonts w:eastAsia="Calibri" w:cs="Calibri"/>
                <w:lang w:val="fr-FR"/>
              </w:rPr>
              <w:t>La firme ne pourra utiliser aucun des produits du projet à des fins propres et/ou commerciales.</w:t>
            </w:r>
            <w:r w:rsidR="00586313">
              <w:rPr>
                <w:rFonts w:eastAsia="Calibri" w:cs="Calibri"/>
                <w:lang w:val="fr-FR"/>
              </w:rPr>
              <w:t> ;</w:t>
            </w:r>
          </w:p>
          <w:p w14:paraId="2BA670F6" w14:textId="77777777" w:rsidR="00EE48EB" w:rsidRPr="00DA5A7D" w:rsidRDefault="00EE48EB" w:rsidP="00DA5A7D">
            <w:pPr>
              <w:pStyle w:val="ListParagraph"/>
              <w:numPr>
                <w:ilvl w:val="0"/>
                <w:numId w:val="30"/>
              </w:numPr>
              <w:spacing w:after="0" w:line="240" w:lineRule="auto"/>
              <w:jc w:val="both"/>
              <w:rPr>
                <w:rFonts w:eastAsia="Calibri" w:cs="Calibri"/>
                <w:lang w:val="fr-FR"/>
              </w:rPr>
            </w:pPr>
            <w:r w:rsidRPr="00DA5A7D">
              <w:rPr>
                <w:rFonts w:eastAsia="Calibri" w:cs="Calibri"/>
                <w:lang w:val="fr-FR"/>
              </w:rPr>
              <w:t>Les produits à livrer demeure</w:t>
            </w:r>
            <w:r w:rsidR="00586313">
              <w:rPr>
                <w:rFonts w:eastAsia="Calibri" w:cs="Calibri"/>
                <w:lang w:val="fr-FR"/>
              </w:rPr>
              <w:t>ro</w:t>
            </w:r>
            <w:r w:rsidRPr="00DA5A7D">
              <w:rPr>
                <w:rFonts w:eastAsia="Calibri" w:cs="Calibri"/>
                <w:lang w:val="fr-FR"/>
              </w:rPr>
              <w:t xml:space="preserve">nt </w:t>
            </w:r>
            <w:r w:rsidR="00586313">
              <w:rPr>
                <w:rFonts w:eastAsia="Calibri" w:cs="Calibri"/>
                <w:lang w:val="fr-FR"/>
              </w:rPr>
              <w:t xml:space="preserve">la </w:t>
            </w:r>
            <w:r w:rsidRPr="00DA5A7D">
              <w:rPr>
                <w:rFonts w:eastAsia="Calibri" w:cs="Calibri"/>
                <w:lang w:val="fr-FR"/>
              </w:rPr>
              <w:t xml:space="preserve">propriété du PNUD et du </w:t>
            </w:r>
            <w:r w:rsidR="00586313">
              <w:rPr>
                <w:rFonts w:eastAsia="Calibri" w:cs="Calibri"/>
                <w:lang w:val="fr-FR"/>
              </w:rPr>
              <w:t>g</w:t>
            </w:r>
            <w:r w:rsidRPr="00DA5A7D">
              <w:rPr>
                <w:rFonts w:eastAsia="Calibri" w:cs="Calibri"/>
                <w:lang w:val="fr-FR"/>
              </w:rPr>
              <w:t>ouvernement haïtien.</w:t>
            </w:r>
          </w:p>
          <w:p w14:paraId="2B48590C" w14:textId="77777777" w:rsidR="00794998" w:rsidRDefault="00794998" w:rsidP="00DA5A7D">
            <w:pPr>
              <w:pStyle w:val="Heading3"/>
              <w:rPr>
                <w:rFonts w:asciiTheme="minorHAnsi" w:hAnsiTheme="minorHAnsi"/>
                <w:lang w:val="fr-FR"/>
              </w:rPr>
            </w:pPr>
          </w:p>
          <w:p w14:paraId="118CE65F" w14:textId="77777777" w:rsidR="00EE48EB" w:rsidRPr="000D18C5" w:rsidRDefault="00686F93" w:rsidP="000D18C5">
            <w:pPr>
              <w:pStyle w:val="Heading3"/>
            </w:pPr>
            <w:r>
              <w:t xml:space="preserve">XI. </w:t>
            </w:r>
            <w:r w:rsidR="00EE48EB" w:rsidRPr="00686F93">
              <w:t>AUTRES INFORMATIONS</w:t>
            </w:r>
          </w:p>
          <w:tbl>
            <w:tblPr>
              <w:tblW w:w="0" w:type="auto"/>
              <w:tblCellMar>
                <w:left w:w="0" w:type="dxa"/>
                <w:right w:w="0" w:type="dxa"/>
              </w:tblCellMar>
              <w:tblLook w:val="04A0" w:firstRow="1" w:lastRow="0" w:firstColumn="1" w:lastColumn="0" w:noHBand="0" w:noVBand="1"/>
            </w:tblPr>
            <w:tblGrid>
              <w:gridCol w:w="2495"/>
              <w:gridCol w:w="6845"/>
            </w:tblGrid>
            <w:tr w:rsidR="00EE48EB" w:rsidRPr="00735EB2" w14:paraId="6BA75549" w14:textId="77777777" w:rsidTr="000D18C5">
              <w:trPr>
                <w:cantSplit/>
                <w:trHeight w:val="460"/>
              </w:trPr>
              <w:tc>
                <w:tcPr>
                  <w:tcW w:w="24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56E8926" w14:textId="77777777" w:rsidR="00EE48EB" w:rsidRPr="00C814B9" w:rsidRDefault="00EE48EB" w:rsidP="001200B7">
                  <w:pPr>
                    <w:spacing w:line="276" w:lineRule="auto"/>
                    <w:rPr>
                      <w:sz w:val="20"/>
                      <w:szCs w:val="20"/>
                      <w:lang w:val="fr-FR"/>
                    </w:rPr>
                  </w:pPr>
                  <w:r w:rsidRPr="00C814B9">
                    <w:rPr>
                      <w:sz w:val="20"/>
                      <w:szCs w:val="20"/>
                      <w:lang w:val="fr-FR"/>
                    </w:rPr>
                    <w:t>Personnes à contacter pour les demandes de renseignements</w:t>
                  </w:r>
                </w:p>
                <w:p w14:paraId="5C907150" w14:textId="77777777" w:rsidR="00EE48EB" w:rsidRPr="00C814B9" w:rsidRDefault="00EE48EB" w:rsidP="00C814B9">
                  <w:pPr>
                    <w:spacing w:line="276" w:lineRule="auto"/>
                    <w:rPr>
                      <w:sz w:val="20"/>
                      <w:szCs w:val="20"/>
                      <w:lang w:val="fr-FR"/>
                    </w:rPr>
                  </w:pPr>
                  <w:r w:rsidRPr="00C814B9">
                    <w:rPr>
                      <w:sz w:val="20"/>
                      <w:szCs w:val="20"/>
                      <w:lang w:val="fr-FR"/>
                    </w:rPr>
                    <w:t>(Demandes de renseignements écrites uniquement)</w:t>
                  </w:r>
                </w:p>
              </w:tc>
              <w:tc>
                <w:tcPr>
                  <w:tcW w:w="68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7E33B" w14:textId="77777777" w:rsidR="00EE48EB" w:rsidRPr="00C814B9" w:rsidRDefault="00EE48EB" w:rsidP="001200B7">
                  <w:pPr>
                    <w:spacing w:line="276" w:lineRule="auto"/>
                    <w:rPr>
                      <w:b/>
                      <w:bCs/>
                      <w:i/>
                      <w:iCs/>
                      <w:sz w:val="20"/>
                      <w:szCs w:val="20"/>
                      <w:lang w:val="fr-FR"/>
                    </w:rPr>
                  </w:pPr>
                  <w:r w:rsidRPr="00C814B9">
                    <w:rPr>
                      <w:b/>
                      <w:bCs/>
                      <w:i/>
                      <w:iCs/>
                      <w:sz w:val="20"/>
                      <w:szCs w:val="20"/>
                      <w:lang w:val="fr-FR"/>
                    </w:rPr>
                    <w:t>PROCUREMENT HT</w:t>
                  </w:r>
                </w:p>
                <w:p w14:paraId="42B507C1" w14:textId="77777777" w:rsidR="00EE48EB" w:rsidRPr="00C814B9" w:rsidRDefault="00364DD0" w:rsidP="001200B7">
                  <w:pPr>
                    <w:spacing w:line="276" w:lineRule="auto"/>
                    <w:rPr>
                      <w:b/>
                      <w:bCs/>
                      <w:i/>
                      <w:iCs/>
                      <w:sz w:val="20"/>
                      <w:szCs w:val="20"/>
                      <w:lang w:val="fr-FR"/>
                    </w:rPr>
                  </w:pPr>
                  <w:hyperlink r:id="rId11" w:history="1">
                    <w:r w:rsidR="00EE48EB" w:rsidRPr="00C814B9">
                      <w:rPr>
                        <w:rStyle w:val="Hyperlink"/>
                        <w:sz w:val="20"/>
                        <w:szCs w:val="20"/>
                        <w:lang w:val="fr-HT" w:eastAsia="ru-RU"/>
                      </w:rPr>
                      <w:t>procurement.ht@undp.org</w:t>
                    </w:r>
                  </w:hyperlink>
                </w:p>
                <w:p w14:paraId="35F74F3B" w14:textId="77777777" w:rsidR="00EE48EB" w:rsidRPr="00C814B9" w:rsidRDefault="00EE48EB" w:rsidP="001200B7">
                  <w:pPr>
                    <w:spacing w:line="276" w:lineRule="auto"/>
                    <w:rPr>
                      <w:sz w:val="20"/>
                      <w:szCs w:val="20"/>
                      <w:lang w:val="fr-FR"/>
                    </w:rPr>
                  </w:pPr>
                  <w:r w:rsidRPr="00C814B9">
                    <w:rPr>
                      <w:snapToGrid w:val="0"/>
                      <w:sz w:val="20"/>
                      <w:szCs w:val="20"/>
                      <w:lang w:val="fr-FR"/>
                    </w:rPr>
                    <w:t>Les réponses tardives du PNUD ne pourront pas servir de prétexte à la prorogation de la date-limite de dépôt des soumissions, sauf si le PNUD estime qu’une telle prorogation est nécessaire et communique une nouvelle date-limite aux soumissionnaires.</w:t>
                  </w:r>
                </w:p>
              </w:tc>
            </w:tr>
            <w:tr w:rsidR="000D18C5" w:rsidRPr="00735EB2" w14:paraId="4C0CBCD2" w14:textId="77777777" w:rsidTr="000D18C5">
              <w:trPr>
                <w:cantSplit/>
                <w:trHeight w:val="460"/>
              </w:trPr>
              <w:tc>
                <w:tcPr>
                  <w:tcW w:w="24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7FBCF8" w14:textId="77777777" w:rsidR="000D18C5" w:rsidRPr="00C814B9" w:rsidRDefault="000D18C5" w:rsidP="001200B7">
                  <w:pPr>
                    <w:spacing w:line="276" w:lineRule="auto"/>
                    <w:rPr>
                      <w:sz w:val="20"/>
                      <w:szCs w:val="20"/>
                      <w:lang w:val="fr-FR"/>
                    </w:rPr>
                  </w:pPr>
                  <w:proofErr w:type="spellStart"/>
                  <w:r w:rsidRPr="00C814B9">
                    <w:rPr>
                      <w:sz w:val="20"/>
                      <w:szCs w:val="20"/>
                    </w:rPr>
                    <w:t>Autres</w:t>
                  </w:r>
                  <w:proofErr w:type="spellEnd"/>
                  <w:r w:rsidRPr="00C814B9">
                    <w:rPr>
                      <w:sz w:val="20"/>
                      <w:szCs w:val="20"/>
                    </w:rPr>
                    <w:t xml:space="preserve"> </w:t>
                  </w:r>
                  <w:proofErr w:type="spellStart"/>
                  <w:r w:rsidRPr="00C814B9">
                    <w:rPr>
                      <w:sz w:val="20"/>
                      <w:szCs w:val="20"/>
                    </w:rPr>
                    <w:t>informations</w:t>
                  </w:r>
                  <w:proofErr w:type="spellEnd"/>
                </w:p>
              </w:tc>
              <w:tc>
                <w:tcPr>
                  <w:tcW w:w="68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813BD9" w14:textId="77777777" w:rsidR="000D18C5" w:rsidRPr="00C814B9" w:rsidRDefault="000D18C5" w:rsidP="000D18C5">
                  <w:pPr>
                    <w:spacing w:line="276" w:lineRule="auto"/>
                    <w:jc w:val="both"/>
                    <w:rPr>
                      <w:sz w:val="20"/>
                      <w:szCs w:val="20"/>
                      <w:lang w:val="fr-FR"/>
                    </w:rPr>
                  </w:pPr>
                  <w:r w:rsidRPr="00C814B9">
                    <w:rPr>
                      <w:sz w:val="20"/>
                      <w:szCs w:val="20"/>
                      <w:lang w:val="fr-FR"/>
                    </w:rPr>
                    <w:t>Le soumissionnaire devra fournir les documents suivants (conditions d’éligibilité):</w:t>
                  </w:r>
                </w:p>
                <w:p w14:paraId="10E1F829" w14:textId="77777777" w:rsidR="000D18C5" w:rsidRPr="00C814B9" w:rsidRDefault="000D18C5" w:rsidP="000D18C5">
                  <w:pPr>
                    <w:pStyle w:val="ListParagraph"/>
                    <w:numPr>
                      <w:ilvl w:val="0"/>
                      <w:numId w:val="36"/>
                    </w:numPr>
                    <w:spacing w:line="276" w:lineRule="auto"/>
                    <w:jc w:val="both"/>
                    <w:rPr>
                      <w:sz w:val="20"/>
                      <w:szCs w:val="20"/>
                      <w:lang w:val="fr-FR"/>
                    </w:rPr>
                  </w:pPr>
                  <w:r w:rsidRPr="00C814B9">
                    <w:rPr>
                      <w:sz w:val="20"/>
                      <w:szCs w:val="20"/>
                      <w:lang w:val="fr-FR"/>
                    </w:rPr>
                    <w:t>Une attestation d’immatriculation de la firme (Numéro de Registre de commerce ou équivalent), ainsi que les statuts ou tout document équivalent si le soumissionnaire n’est pas une société ;</w:t>
                  </w:r>
                </w:p>
                <w:p w14:paraId="47F9E7FA" w14:textId="77777777" w:rsidR="000D18C5" w:rsidRPr="00C814B9" w:rsidRDefault="000D18C5" w:rsidP="000D18C5">
                  <w:pPr>
                    <w:pStyle w:val="ListParagraph"/>
                    <w:numPr>
                      <w:ilvl w:val="0"/>
                      <w:numId w:val="36"/>
                    </w:numPr>
                    <w:spacing w:line="276" w:lineRule="auto"/>
                    <w:jc w:val="both"/>
                    <w:rPr>
                      <w:sz w:val="20"/>
                      <w:szCs w:val="20"/>
                      <w:lang w:val="fr-FR"/>
                    </w:rPr>
                  </w:pPr>
                  <w:r w:rsidRPr="00C814B9">
                    <w:rPr>
                      <w:sz w:val="20"/>
                      <w:szCs w:val="20"/>
                      <w:lang w:val="fr-FR"/>
                    </w:rPr>
                    <w:t>Licence d’exploitation ou autre document légal autorisant la firme à exercer ou équivalent ;</w:t>
                  </w:r>
                </w:p>
                <w:p w14:paraId="59454CAB" w14:textId="77777777" w:rsidR="000D18C5" w:rsidRPr="00C814B9" w:rsidRDefault="000D18C5" w:rsidP="000D18C5">
                  <w:pPr>
                    <w:pStyle w:val="ListParagraph"/>
                    <w:numPr>
                      <w:ilvl w:val="0"/>
                      <w:numId w:val="36"/>
                    </w:numPr>
                    <w:spacing w:line="276" w:lineRule="auto"/>
                    <w:jc w:val="both"/>
                    <w:rPr>
                      <w:sz w:val="20"/>
                      <w:szCs w:val="20"/>
                      <w:lang w:val="fr-FR"/>
                    </w:rPr>
                  </w:pPr>
                  <w:r w:rsidRPr="00C814B9">
                    <w:rPr>
                      <w:sz w:val="20"/>
                      <w:szCs w:val="20"/>
                      <w:lang w:val="fr-FR"/>
                    </w:rPr>
                    <w:t>Les états financiers certifiés les plus récents, au titre des 2 dernières années;</w:t>
                  </w:r>
                </w:p>
                <w:p w14:paraId="529B16B5" w14:textId="77777777" w:rsidR="000D18C5" w:rsidRPr="00C814B9" w:rsidRDefault="000D18C5" w:rsidP="000D18C5">
                  <w:pPr>
                    <w:pStyle w:val="ListParagraph"/>
                    <w:numPr>
                      <w:ilvl w:val="0"/>
                      <w:numId w:val="36"/>
                    </w:numPr>
                    <w:spacing w:line="276" w:lineRule="auto"/>
                    <w:jc w:val="both"/>
                    <w:rPr>
                      <w:sz w:val="20"/>
                      <w:szCs w:val="20"/>
                      <w:lang w:val="fr-FR"/>
                    </w:rPr>
                  </w:pPr>
                  <w:r w:rsidRPr="00C814B9">
                    <w:rPr>
                      <w:sz w:val="20"/>
                      <w:szCs w:val="20"/>
                      <w:lang w:val="fr-FR"/>
                    </w:rPr>
                    <w:t xml:space="preserve">Un tableau reprenant une liste des prestations similaires durant les 3 dernières années et la valeur de leurs contrats ; </w:t>
                  </w:r>
                </w:p>
                <w:p w14:paraId="22C30EBF" w14:textId="77777777" w:rsidR="000D18C5" w:rsidRPr="00C814B9" w:rsidRDefault="000D18C5" w:rsidP="000D18C5">
                  <w:pPr>
                    <w:pStyle w:val="ListParagraph"/>
                    <w:numPr>
                      <w:ilvl w:val="0"/>
                      <w:numId w:val="36"/>
                    </w:numPr>
                    <w:spacing w:line="276" w:lineRule="auto"/>
                    <w:jc w:val="both"/>
                    <w:rPr>
                      <w:sz w:val="20"/>
                      <w:szCs w:val="20"/>
                      <w:lang w:val="fr-FR"/>
                    </w:rPr>
                  </w:pPr>
                  <w:r w:rsidRPr="00C814B9">
                    <w:rPr>
                      <w:sz w:val="20"/>
                      <w:szCs w:val="20"/>
                      <w:lang w:val="fr-FR"/>
                    </w:rPr>
                    <w:t>Des coordonnées des personnes ou institutions (adresse email, téléphone) auprès desquelles les références peuvent être vérifiées ;</w:t>
                  </w:r>
                </w:p>
                <w:p w14:paraId="30198BEE" w14:textId="77777777" w:rsidR="000D18C5" w:rsidRPr="00C814B9" w:rsidRDefault="000D18C5" w:rsidP="000D18C5">
                  <w:pPr>
                    <w:pStyle w:val="ListParagraph"/>
                    <w:numPr>
                      <w:ilvl w:val="0"/>
                      <w:numId w:val="36"/>
                    </w:numPr>
                    <w:spacing w:line="276" w:lineRule="auto"/>
                    <w:jc w:val="both"/>
                    <w:rPr>
                      <w:sz w:val="20"/>
                      <w:szCs w:val="20"/>
                      <w:lang w:val="fr-FR"/>
                    </w:rPr>
                  </w:pPr>
                  <w:r w:rsidRPr="00C814B9">
                    <w:rPr>
                      <w:sz w:val="20"/>
                      <w:szCs w:val="20"/>
                      <w:lang w:val="fr-FR"/>
                    </w:rPr>
                    <w:t>Fournir une liste détaillée des experts qui seront  affectés à cette mission, leurs responsabilités respectives ainsi que leurs qualifications (Joindre le CV de chacun) ;</w:t>
                  </w:r>
                </w:p>
                <w:p w14:paraId="5F19FB6E" w14:textId="77777777" w:rsidR="000D18C5" w:rsidRPr="00C814B9" w:rsidRDefault="000D18C5" w:rsidP="000D18C5">
                  <w:pPr>
                    <w:spacing w:line="276" w:lineRule="auto"/>
                    <w:rPr>
                      <w:b/>
                      <w:sz w:val="20"/>
                      <w:szCs w:val="20"/>
                      <w:lang w:val="fr-FR"/>
                    </w:rPr>
                  </w:pPr>
                  <w:r w:rsidRPr="00C814B9">
                    <w:rPr>
                      <w:b/>
                      <w:sz w:val="20"/>
                      <w:szCs w:val="20"/>
                      <w:lang w:val="fr-FR"/>
                    </w:rPr>
                    <w:t>Modalités de présentation des offres</w:t>
                  </w:r>
                </w:p>
                <w:p w14:paraId="02CFA03A" w14:textId="77777777" w:rsidR="000D18C5" w:rsidRPr="00C814B9" w:rsidRDefault="000D18C5" w:rsidP="000D18C5">
                  <w:pPr>
                    <w:spacing w:line="276" w:lineRule="auto"/>
                    <w:rPr>
                      <w:sz w:val="20"/>
                      <w:szCs w:val="20"/>
                      <w:lang w:val="fr-FR"/>
                    </w:rPr>
                  </w:pPr>
                  <w:r w:rsidRPr="00C814B9">
                    <w:rPr>
                      <w:sz w:val="20"/>
                      <w:szCs w:val="20"/>
                      <w:lang w:val="fr-FR"/>
                    </w:rPr>
                    <w:t xml:space="preserve">Les enveloppes contenant la soumission financière et la soumission technique DOIVENT ETRE COMPLETEMENT SEPAREES et chacune doit être remise fermée et clairement revêtue de la mention « SOUMISSION TECHNIQUE » ou « SOUMISSION FINANCIERE », selon le cas. </w:t>
                  </w:r>
                </w:p>
                <w:p w14:paraId="72428ECF" w14:textId="1C3D32D2" w:rsidR="000D18C5" w:rsidRPr="00C814B9" w:rsidRDefault="000D18C5" w:rsidP="000D18C5">
                  <w:pPr>
                    <w:spacing w:line="276" w:lineRule="auto"/>
                    <w:rPr>
                      <w:sz w:val="20"/>
                      <w:szCs w:val="20"/>
                      <w:lang w:val="fr-FR"/>
                    </w:rPr>
                  </w:pPr>
                  <w:r w:rsidRPr="00C814B9">
                    <w:rPr>
                      <w:sz w:val="20"/>
                      <w:szCs w:val="20"/>
                      <w:lang w:val="fr-FR"/>
                    </w:rPr>
                    <w:t xml:space="preserve">Chaque enveloppe doit clairement indiquer le nom du soumissionnaire et la référence de l’appel à soumissionner. </w:t>
                  </w:r>
                </w:p>
                <w:p w14:paraId="7E6D8ED0" w14:textId="77777777" w:rsidR="000D18C5" w:rsidRPr="00C814B9" w:rsidRDefault="000D18C5" w:rsidP="000D18C5">
                  <w:pPr>
                    <w:spacing w:line="276" w:lineRule="auto"/>
                    <w:rPr>
                      <w:b/>
                      <w:bCs/>
                      <w:i/>
                      <w:iCs/>
                      <w:sz w:val="20"/>
                      <w:szCs w:val="20"/>
                      <w:lang w:val="fr-FR"/>
                    </w:rPr>
                  </w:pPr>
                  <w:r w:rsidRPr="00C814B9">
                    <w:rPr>
                      <w:sz w:val="20"/>
                      <w:szCs w:val="20"/>
                      <w:lang w:val="fr-FR"/>
                    </w:rPr>
                    <w:t>LES DEUX ENVELOPPES SERONT MISES DANS UNE GRANDE ENVELOPPE ET DOIT indiquer l’adresse du PNUD ci-dessus avec mention «A N’OUVRIR QU’EN SEANCE DE DEPOUILLEMENT»</w:t>
                  </w:r>
                </w:p>
              </w:tc>
            </w:tr>
          </w:tbl>
          <w:p w14:paraId="1FB4967D" w14:textId="77777777" w:rsidR="007A022A" w:rsidRPr="00F21AF9" w:rsidRDefault="007A022A" w:rsidP="00EE48EB">
            <w:pPr>
              <w:tabs>
                <w:tab w:val="center" w:pos="4680"/>
                <w:tab w:val="right" w:pos="9360"/>
              </w:tabs>
              <w:spacing w:before="100" w:beforeAutospacing="1" w:after="100" w:afterAutospacing="1" w:line="240" w:lineRule="auto"/>
              <w:jc w:val="both"/>
              <w:rPr>
                <w:rFonts w:eastAsia="Times New Roman" w:cs="Times New Roman"/>
                <w:sz w:val="24"/>
                <w:szCs w:val="24"/>
                <w:lang w:val="fr-CA"/>
              </w:rPr>
            </w:pPr>
          </w:p>
        </w:tc>
      </w:tr>
      <w:tr w:rsidR="00637EBD" w:rsidRPr="00735EB2" w14:paraId="4CA856FD" w14:textId="77777777" w:rsidTr="00301068">
        <w:trPr>
          <w:tblCellSpacing w:w="30" w:type="dxa"/>
        </w:trPr>
        <w:tc>
          <w:tcPr>
            <w:tcW w:w="0" w:type="auto"/>
            <w:vAlign w:val="center"/>
          </w:tcPr>
          <w:p w14:paraId="42F3E0F0" w14:textId="77777777" w:rsidR="00B26801" w:rsidRPr="00F21AF9" w:rsidRDefault="00B26801" w:rsidP="007A022A">
            <w:pPr>
              <w:tabs>
                <w:tab w:val="center" w:pos="4680"/>
                <w:tab w:val="right" w:pos="9360"/>
              </w:tabs>
              <w:spacing w:before="100" w:beforeAutospacing="1" w:after="100" w:afterAutospacing="1" w:line="240" w:lineRule="auto"/>
              <w:jc w:val="both"/>
              <w:rPr>
                <w:rFonts w:ascii="Times New Roman" w:eastAsia="Times New Roman" w:hAnsi="Times New Roman" w:cs="Times New Roman"/>
                <w:b/>
                <w:bCs/>
                <w:sz w:val="24"/>
                <w:szCs w:val="24"/>
                <w:lang w:val="fr-CA"/>
              </w:rPr>
            </w:pPr>
          </w:p>
          <w:p w14:paraId="210925A4" w14:textId="77777777" w:rsidR="00B26801" w:rsidRPr="00F21AF9" w:rsidRDefault="00B26801" w:rsidP="007A022A">
            <w:pPr>
              <w:spacing w:before="100" w:beforeAutospacing="1" w:after="100" w:afterAutospacing="1" w:line="240" w:lineRule="auto"/>
              <w:jc w:val="both"/>
              <w:rPr>
                <w:rFonts w:ascii="Times New Roman" w:eastAsia="Times New Roman" w:hAnsi="Times New Roman" w:cs="Times New Roman"/>
                <w:b/>
                <w:bCs/>
                <w:sz w:val="24"/>
                <w:szCs w:val="24"/>
                <w:lang w:val="fr-CA"/>
              </w:rPr>
            </w:pPr>
          </w:p>
          <w:p w14:paraId="76F5BEDF" w14:textId="77777777" w:rsidR="00B26801" w:rsidRPr="00F21AF9" w:rsidRDefault="00B26801" w:rsidP="007A022A">
            <w:pPr>
              <w:tabs>
                <w:tab w:val="center" w:pos="4680"/>
                <w:tab w:val="right" w:pos="9360"/>
              </w:tabs>
              <w:spacing w:before="100" w:beforeAutospacing="1" w:after="100" w:afterAutospacing="1" w:line="240" w:lineRule="auto"/>
              <w:jc w:val="both"/>
              <w:rPr>
                <w:rFonts w:ascii="Times New Roman" w:eastAsia="Times New Roman" w:hAnsi="Times New Roman" w:cs="Times New Roman"/>
                <w:b/>
                <w:bCs/>
                <w:sz w:val="24"/>
                <w:szCs w:val="24"/>
                <w:lang w:val="fr-CA"/>
              </w:rPr>
            </w:pPr>
          </w:p>
        </w:tc>
      </w:tr>
    </w:tbl>
    <w:p w14:paraId="711E09FD" w14:textId="77777777" w:rsidR="007A022A" w:rsidRPr="00F21AF9" w:rsidRDefault="007A022A" w:rsidP="007A022A">
      <w:pPr>
        <w:tabs>
          <w:tab w:val="left" w:pos="975"/>
        </w:tabs>
        <w:jc w:val="both"/>
        <w:rPr>
          <w:rFonts w:ascii="Times New Roman" w:hAnsi="Times New Roman" w:cs="Times New Roman"/>
          <w:sz w:val="2"/>
          <w:szCs w:val="2"/>
          <w:lang w:val="fr-CA"/>
        </w:rPr>
      </w:pPr>
    </w:p>
    <w:sectPr w:rsidR="007A022A" w:rsidRPr="00F21A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24FC" w14:textId="77777777" w:rsidR="007D49DE" w:rsidRDefault="007D49DE" w:rsidP="00281D64">
      <w:pPr>
        <w:spacing w:after="0" w:line="240" w:lineRule="auto"/>
      </w:pPr>
      <w:r>
        <w:separator/>
      </w:r>
    </w:p>
  </w:endnote>
  <w:endnote w:type="continuationSeparator" w:id="0">
    <w:p w14:paraId="52D61BF3" w14:textId="77777777" w:rsidR="007D49DE" w:rsidRDefault="007D49DE" w:rsidP="0028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908434"/>
      <w:docPartObj>
        <w:docPartGallery w:val="Page Numbers (Bottom of Page)"/>
        <w:docPartUnique/>
      </w:docPartObj>
    </w:sdtPr>
    <w:sdtEndPr>
      <w:rPr>
        <w:noProof/>
      </w:rPr>
    </w:sdtEndPr>
    <w:sdtContent>
      <w:p w14:paraId="5FAB8143" w14:textId="77777777" w:rsidR="00C610A7" w:rsidRDefault="00C610A7">
        <w:pPr>
          <w:pStyle w:val="Footer"/>
          <w:jc w:val="right"/>
        </w:pPr>
        <w:r>
          <w:fldChar w:fldCharType="begin"/>
        </w:r>
        <w:r>
          <w:instrText xml:space="preserve"> PAGE   \* MERGEFORMAT </w:instrText>
        </w:r>
        <w:r>
          <w:fldChar w:fldCharType="separate"/>
        </w:r>
        <w:r w:rsidR="00307768">
          <w:rPr>
            <w:noProof/>
          </w:rPr>
          <w:t>8</w:t>
        </w:r>
        <w:r>
          <w:rPr>
            <w:noProof/>
          </w:rPr>
          <w:fldChar w:fldCharType="end"/>
        </w:r>
      </w:p>
    </w:sdtContent>
  </w:sdt>
  <w:p w14:paraId="518AC500" w14:textId="77777777" w:rsidR="00C610A7" w:rsidRDefault="00C6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AD79B" w14:textId="77777777" w:rsidR="007D49DE" w:rsidRDefault="007D49DE" w:rsidP="00281D64">
      <w:pPr>
        <w:spacing w:after="0" w:line="240" w:lineRule="auto"/>
      </w:pPr>
      <w:r>
        <w:separator/>
      </w:r>
    </w:p>
  </w:footnote>
  <w:footnote w:type="continuationSeparator" w:id="0">
    <w:p w14:paraId="2B0E5F6B" w14:textId="77777777" w:rsidR="007D49DE" w:rsidRDefault="007D49DE" w:rsidP="00281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C92"/>
    <w:multiLevelType w:val="hybridMultilevel"/>
    <w:tmpl w:val="665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5FD"/>
    <w:multiLevelType w:val="hybridMultilevel"/>
    <w:tmpl w:val="2912E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C4C68"/>
    <w:multiLevelType w:val="hybridMultilevel"/>
    <w:tmpl w:val="E26A7B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731CE"/>
    <w:multiLevelType w:val="hybridMultilevel"/>
    <w:tmpl w:val="E31057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40271"/>
    <w:multiLevelType w:val="hybridMultilevel"/>
    <w:tmpl w:val="C714E502"/>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551225"/>
    <w:multiLevelType w:val="hybridMultilevel"/>
    <w:tmpl w:val="8A22E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400D5"/>
    <w:multiLevelType w:val="hybridMultilevel"/>
    <w:tmpl w:val="09DC9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0ED0"/>
    <w:multiLevelType w:val="hybridMultilevel"/>
    <w:tmpl w:val="CE2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A427A"/>
    <w:multiLevelType w:val="hybridMultilevel"/>
    <w:tmpl w:val="21D44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0A18F9"/>
    <w:multiLevelType w:val="multilevel"/>
    <w:tmpl w:val="5E3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D18E2"/>
    <w:multiLevelType w:val="hybridMultilevel"/>
    <w:tmpl w:val="8A6E2F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17B1A"/>
    <w:multiLevelType w:val="hybridMultilevel"/>
    <w:tmpl w:val="D668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8449D"/>
    <w:multiLevelType w:val="hybridMultilevel"/>
    <w:tmpl w:val="31423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32E61"/>
    <w:multiLevelType w:val="multilevel"/>
    <w:tmpl w:val="FDD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A0C02"/>
    <w:multiLevelType w:val="hybridMultilevel"/>
    <w:tmpl w:val="8A22B6A4"/>
    <w:lvl w:ilvl="0" w:tplc="24090019">
      <w:start w:val="1"/>
      <w:numFmt w:val="lowerLetter"/>
      <w:lvlText w:val="%1."/>
      <w:lvlJc w:val="left"/>
      <w:pPr>
        <w:ind w:left="360" w:hanging="360"/>
      </w:pPr>
      <w:rPr>
        <w:rFonts w:hint="default"/>
      </w:rPr>
    </w:lvl>
    <w:lvl w:ilvl="1" w:tplc="24090019">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5" w15:restartNumberingAfterBreak="0">
    <w:nsid w:val="2C8A6701"/>
    <w:multiLevelType w:val="multilevel"/>
    <w:tmpl w:val="B22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63C56"/>
    <w:multiLevelType w:val="hybridMultilevel"/>
    <w:tmpl w:val="F27E72B4"/>
    <w:lvl w:ilvl="0" w:tplc="2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7" w15:restartNumberingAfterBreak="0">
    <w:nsid w:val="2F92334E"/>
    <w:multiLevelType w:val="hybridMultilevel"/>
    <w:tmpl w:val="CEEA66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E7E4A"/>
    <w:multiLevelType w:val="multilevel"/>
    <w:tmpl w:val="BAB65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B7223"/>
    <w:multiLevelType w:val="hybridMultilevel"/>
    <w:tmpl w:val="2A1A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551B2"/>
    <w:multiLevelType w:val="multilevel"/>
    <w:tmpl w:val="A4B2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E73F7"/>
    <w:multiLevelType w:val="hybridMultilevel"/>
    <w:tmpl w:val="3028BBD0"/>
    <w:lvl w:ilvl="0" w:tplc="040C000D">
      <w:start w:val="1"/>
      <w:numFmt w:val="bullet"/>
      <w:lvlText w:val=""/>
      <w:lvlJc w:val="left"/>
      <w:pPr>
        <w:ind w:left="720" w:hanging="360"/>
      </w:pPr>
      <w:rPr>
        <w:rFonts w:ascii="Wingdings" w:hAnsi="Wingdings" w:hint="default"/>
        <w:sz w:val="24"/>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2" w15:restartNumberingAfterBreak="0">
    <w:nsid w:val="422D0993"/>
    <w:multiLevelType w:val="hybridMultilevel"/>
    <w:tmpl w:val="0AD4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C2381"/>
    <w:multiLevelType w:val="hybridMultilevel"/>
    <w:tmpl w:val="7EB8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94094"/>
    <w:multiLevelType w:val="hybridMultilevel"/>
    <w:tmpl w:val="663CA0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466250"/>
    <w:multiLevelType w:val="multilevel"/>
    <w:tmpl w:val="CA9A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1B560A"/>
    <w:multiLevelType w:val="hybridMultilevel"/>
    <w:tmpl w:val="F63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55C9D"/>
    <w:multiLevelType w:val="hybridMultilevel"/>
    <w:tmpl w:val="1D3A9B7A"/>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A77DF8"/>
    <w:multiLevelType w:val="hybridMultilevel"/>
    <w:tmpl w:val="E59C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67CBD"/>
    <w:multiLevelType w:val="multilevel"/>
    <w:tmpl w:val="4D6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E1449C"/>
    <w:multiLevelType w:val="hybridMultilevel"/>
    <w:tmpl w:val="94F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B6DD0"/>
    <w:multiLevelType w:val="hybridMultilevel"/>
    <w:tmpl w:val="38081C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11438DD"/>
    <w:multiLevelType w:val="multilevel"/>
    <w:tmpl w:val="6356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C1619"/>
    <w:multiLevelType w:val="hybridMultilevel"/>
    <w:tmpl w:val="05F03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62380"/>
    <w:multiLevelType w:val="hybridMultilevel"/>
    <w:tmpl w:val="C310B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F6ED4"/>
    <w:multiLevelType w:val="multilevel"/>
    <w:tmpl w:val="BDFABDE2"/>
    <w:lvl w:ilvl="0">
      <w:start w:val="13"/>
      <w:numFmt w:val="decimal"/>
      <w:lvlText w:val="%1"/>
      <w:lvlJc w:val="left"/>
      <w:pPr>
        <w:ind w:left="420" w:hanging="420"/>
      </w:pPr>
    </w:lvl>
    <w:lvl w:ilvl="1">
      <w:start w:val="1"/>
      <w:numFmt w:val="decimal"/>
      <w:lvlText w:val="%1.%2"/>
      <w:lvlJc w:val="left"/>
      <w:pPr>
        <w:ind w:left="420" w:hanging="420"/>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0654251"/>
    <w:multiLevelType w:val="multilevel"/>
    <w:tmpl w:val="AD18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B655F"/>
    <w:multiLevelType w:val="hybridMultilevel"/>
    <w:tmpl w:val="89D2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20602"/>
    <w:multiLevelType w:val="hybridMultilevel"/>
    <w:tmpl w:val="589CE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3314D"/>
    <w:multiLevelType w:val="hybridMultilevel"/>
    <w:tmpl w:val="4B6002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665C8"/>
    <w:multiLevelType w:val="hybridMultilevel"/>
    <w:tmpl w:val="F072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36C1A"/>
    <w:multiLevelType w:val="hybridMultilevel"/>
    <w:tmpl w:val="CF4AF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DF1E12"/>
    <w:multiLevelType w:val="multilevel"/>
    <w:tmpl w:val="AB98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EE4D70"/>
    <w:multiLevelType w:val="hybridMultilevel"/>
    <w:tmpl w:val="F2AA1D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72582"/>
    <w:multiLevelType w:val="multilevel"/>
    <w:tmpl w:val="3C1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2109F"/>
    <w:multiLevelType w:val="hybridMultilevel"/>
    <w:tmpl w:val="A38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F4162"/>
    <w:multiLevelType w:val="hybridMultilevel"/>
    <w:tmpl w:val="FC7E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8"/>
  </w:num>
  <w:num w:numId="4">
    <w:abstractNumId w:val="9"/>
  </w:num>
  <w:num w:numId="5">
    <w:abstractNumId w:val="44"/>
  </w:num>
  <w:num w:numId="6">
    <w:abstractNumId w:val="42"/>
  </w:num>
  <w:num w:numId="7">
    <w:abstractNumId w:val="36"/>
  </w:num>
  <w:num w:numId="8">
    <w:abstractNumId w:val="15"/>
  </w:num>
  <w:num w:numId="9">
    <w:abstractNumId w:val="13"/>
  </w:num>
  <w:num w:numId="10">
    <w:abstractNumId w:val="32"/>
  </w:num>
  <w:num w:numId="11">
    <w:abstractNumId w:val="25"/>
  </w:num>
  <w:num w:numId="12">
    <w:abstractNumId w:val="30"/>
  </w:num>
  <w:num w:numId="13">
    <w:abstractNumId w:val="22"/>
  </w:num>
  <w:num w:numId="14">
    <w:abstractNumId w:val="34"/>
  </w:num>
  <w:num w:numId="15">
    <w:abstractNumId w:val="35"/>
    <w:lvlOverride w:ilvl="0">
      <w:startOverride w:val="1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1"/>
  </w:num>
  <w:num w:numId="18">
    <w:abstractNumId w:val="21"/>
  </w:num>
  <w:num w:numId="19">
    <w:abstractNumId w:val="12"/>
  </w:num>
  <w:num w:numId="20">
    <w:abstractNumId w:val="43"/>
  </w:num>
  <w:num w:numId="21">
    <w:abstractNumId w:val="3"/>
  </w:num>
  <w:num w:numId="22">
    <w:abstractNumId w:val="40"/>
  </w:num>
  <w:num w:numId="23">
    <w:abstractNumId w:val="5"/>
  </w:num>
  <w:num w:numId="24">
    <w:abstractNumId w:val="31"/>
  </w:num>
  <w:num w:numId="25">
    <w:abstractNumId w:val="24"/>
  </w:num>
  <w:num w:numId="26">
    <w:abstractNumId w:val="39"/>
  </w:num>
  <w:num w:numId="27">
    <w:abstractNumId w:val="2"/>
  </w:num>
  <w:num w:numId="28">
    <w:abstractNumId w:val="8"/>
  </w:num>
  <w:num w:numId="29">
    <w:abstractNumId w:val="17"/>
  </w:num>
  <w:num w:numId="30">
    <w:abstractNumId w:val="4"/>
  </w:num>
  <w:num w:numId="31">
    <w:abstractNumId w:val="6"/>
  </w:num>
  <w:num w:numId="32">
    <w:abstractNumId w:val="37"/>
  </w:num>
  <w:num w:numId="33">
    <w:abstractNumId w:val="23"/>
  </w:num>
  <w:num w:numId="34">
    <w:abstractNumId w:val="45"/>
  </w:num>
  <w:num w:numId="35">
    <w:abstractNumId w:val="11"/>
  </w:num>
  <w:num w:numId="36">
    <w:abstractNumId w:val="19"/>
  </w:num>
  <w:num w:numId="37">
    <w:abstractNumId w:val="28"/>
  </w:num>
  <w:num w:numId="38">
    <w:abstractNumId w:val="26"/>
  </w:num>
  <w:num w:numId="39">
    <w:abstractNumId w:val="46"/>
  </w:num>
  <w:num w:numId="40">
    <w:abstractNumId w:val="7"/>
  </w:num>
  <w:num w:numId="41">
    <w:abstractNumId w:val="10"/>
  </w:num>
  <w:num w:numId="42">
    <w:abstractNumId w:val="33"/>
  </w:num>
  <w:num w:numId="43">
    <w:abstractNumId w:val="38"/>
  </w:num>
  <w:num w:numId="44">
    <w:abstractNumId w:val="1"/>
  </w:num>
  <w:num w:numId="45">
    <w:abstractNumId w:val="0"/>
  </w:num>
  <w:num w:numId="46">
    <w:abstractNumId w:val="1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22A"/>
    <w:rsid w:val="00023BBC"/>
    <w:rsid w:val="00031BD2"/>
    <w:rsid w:val="00063D60"/>
    <w:rsid w:val="00074E88"/>
    <w:rsid w:val="000D18C5"/>
    <w:rsid w:val="000E5ECC"/>
    <w:rsid w:val="000F53CA"/>
    <w:rsid w:val="000F6983"/>
    <w:rsid w:val="00101A68"/>
    <w:rsid w:val="00115A49"/>
    <w:rsid w:val="001200B7"/>
    <w:rsid w:val="00135213"/>
    <w:rsid w:val="00167662"/>
    <w:rsid w:val="0018770C"/>
    <w:rsid w:val="0019193F"/>
    <w:rsid w:val="0019332F"/>
    <w:rsid w:val="001B07BE"/>
    <w:rsid w:val="001D74D7"/>
    <w:rsid w:val="001F2401"/>
    <w:rsid w:val="001F6EC2"/>
    <w:rsid w:val="001F7233"/>
    <w:rsid w:val="002316F2"/>
    <w:rsid w:val="00232568"/>
    <w:rsid w:val="002349E0"/>
    <w:rsid w:val="002551F9"/>
    <w:rsid w:val="00277769"/>
    <w:rsid w:val="00281D64"/>
    <w:rsid w:val="002E7FE8"/>
    <w:rsid w:val="00301068"/>
    <w:rsid w:val="003061E5"/>
    <w:rsid w:val="00307768"/>
    <w:rsid w:val="00311DE9"/>
    <w:rsid w:val="003216C5"/>
    <w:rsid w:val="00330E98"/>
    <w:rsid w:val="00364DD0"/>
    <w:rsid w:val="003927A1"/>
    <w:rsid w:val="003B0DE6"/>
    <w:rsid w:val="003B6861"/>
    <w:rsid w:val="003D1BAD"/>
    <w:rsid w:val="00412BE9"/>
    <w:rsid w:val="00451C4E"/>
    <w:rsid w:val="00452915"/>
    <w:rsid w:val="0046781F"/>
    <w:rsid w:val="00473459"/>
    <w:rsid w:val="004869CE"/>
    <w:rsid w:val="004957F2"/>
    <w:rsid w:val="004A39F7"/>
    <w:rsid w:val="004A7D08"/>
    <w:rsid w:val="004C0240"/>
    <w:rsid w:val="004D3567"/>
    <w:rsid w:val="004F635E"/>
    <w:rsid w:val="0050787B"/>
    <w:rsid w:val="00524241"/>
    <w:rsid w:val="005405C8"/>
    <w:rsid w:val="005563A8"/>
    <w:rsid w:val="00575410"/>
    <w:rsid w:val="00581E50"/>
    <w:rsid w:val="0058607E"/>
    <w:rsid w:val="00586313"/>
    <w:rsid w:val="00595395"/>
    <w:rsid w:val="005B48D6"/>
    <w:rsid w:val="005B5026"/>
    <w:rsid w:val="005D01B9"/>
    <w:rsid w:val="005E4AAD"/>
    <w:rsid w:val="005F5A0C"/>
    <w:rsid w:val="006203D3"/>
    <w:rsid w:val="00622E40"/>
    <w:rsid w:val="00637EBD"/>
    <w:rsid w:val="00647597"/>
    <w:rsid w:val="00662F9D"/>
    <w:rsid w:val="00663A93"/>
    <w:rsid w:val="00674295"/>
    <w:rsid w:val="006750AB"/>
    <w:rsid w:val="00680539"/>
    <w:rsid w:val="00686F93"/>
    <w:rsid w:val="00697B14"/>
    <w:rsid w:val="006B4449"/>
    <w:rsid w:val="006B69A1"/>
    <w:rsid w:val="006D2589"/>
    <w:rsid w:val="006D5C87"/>
    <w:rsid w:val="007225C6"/>
    <w:rsid w:val="0072742E"/>
    <w:rsid w:val="00735BD2"/>
    <w:rsid w:val="00735EB2"/>
    <w:rsid w:val="00746D35"/>
    <w:rsid w:val="0075204B"/>
    <w:rsid w:val="00752BBF"/>
    <w:rsid w:val="0077506D"/>
    <w:rsid w:val="00784A72"/>
    <w:rsid w:val="00794998"/>
    <w:rsid w:val="007A022A"/>
    <w:rsid w:val="007A7BD5"/>
    <w:rsid w:val="007B63F8"/>
    <w:rsid w:val="007D49DE"/>
    <w:rsid w:val="007D5419"/>
    <w:rsid w:val="007E6C9C"/>
    <w:rsid w:val="0080055A"/>
    <w:rsid w:val="0082095D"/>
    <w:rsid w:val="00830A6E"/>
    <w:rsid w:val="008332FD"/>
    <w:rsid w:val="0085289F"/>
    <w:rsid w:val="00856723"/>
    <w:rsid w:val="00861302"/>
    <w:rsid w:val="00862BD1"/>
    <w:rsid w:val="008671F7"/>
    <w:rsid w:val="008B261A"/>
    <w:rsid w:val="008D5282"/>
    <w:rsid w:val="008E408B"/>
    <w:rsid w:val="00901F7A"/>
    <w:rsid w:val="009202B0"/>
    <w:rsid w:val="00920AB7"/>
    <w:rsid w:val="00943743"/>
    <w:rsid w:val="00951B27"/>
    <w:rsid w:val="00962F71"/>
    <w:rsid w:val="0097044B"/>
    <w:rsid w:val="009A1B2C"/>
    <w:rsid w:val="009B68F6"/>
    <w:rsid w:val="009C2BC9"/>
    <w:rsid w:val="009D2416"/>
    <w:rsid w:val="009E2114"/>
    <w:rsid w:val="009E6D8F"/>
    <w:rsid w:val="00A00733"/>
    <w:rsid w:val="00A251D8"/>
    <w:rsid w:val="00A65AF7"/>
    <w:rsid w:val="00AA0F7F"/>
    <w:rsid w:val="00AA74B7"/>
    <w:rsid w:val="00AC3170"/>
    <w:rsid w:val="00AD4DC6"/>
    <w:rsid w:val="00AF6724"/>
    <w:rsid w:val="00B21DDC"/>
    <w:rsid w:val="00B26801"/>
    <w:rsid w:val="00B54DBC"/>
    <w:rsid w:val="00B56DCE"/>
    <w:rsid w:val="00B63E60"/>
    <w:rsid w:val="00B71D5A"/>
    <w:rsid w:val="00B82B5E"/>
    <w:rsid w:val="00B9230B"/>
    <w:rsid w:val="00BA2599"/>
    <w:rsid w:val="00BE4F6D"/>
    <w:rsid w:val="00C17CF0"/>
    <w:rsid w:val="00C23242"/>
    <w:rsid w:val="00C324B8"/>
    <w:rsid w:val="00C57783"/>
    <w:rsid w:val="00C60D3C"/>
    <w:rsid w:val="00C610A7"/>
    <w:rsid w:val="00C67609"/>
    <w:rsid w:val="00C81397"/>
    <w:rsid w:val="00C814B9"/>
    <w:rsid w:val="00C9282D"/>
    <w:rsid w:val="00CD2E40"/>
    <w:rsid w:val="00CF21C7"/>
    <w:rsid w:val="00CF2520"/>
    <w:rsid w:val="00CF4847"/>
    <w:rsid w:val="00D231DB"/>
    <w:rsid w:val="00D86FDF"/>
    <w:rsid w:val="00DA5A7D"/>
    <w:rsid w:val="00DA6294"/>
    <w:rsid w:val="00DB07BF"/>
    <w:rsid w:val="00DE0CA0"/>
    <w:rsid w:val="00DE456B"/>
    <w:rsid w:val="00DE4D15"/>
    <w:rsid w:val="00E07003"/>
    <w:rsid w:val="00E15C7F"/>
    <w:rsid w:val="00E259DB"/>
    <w:rsid w:val="00E558CF"/>
    <w:rsid w:val="00E65B10"/>
    <w:rsid w:val="00E8697D"/>
    <w:rsid w:val="00E93B57"/>
    <w:rsid w:val="00EA3687"/>
    <w:rsid w:val="00EA3AEA"/>
    <w:rsid w:val="00EB4AE6"/>
    <w:rsid w:val="00EE1893"/>
    <w:rsid w:val="00EE2639"/>
    <w:rsid w:val="00EE48EB"/>
    <w:rsid w:val="00F00A3D"/>
    <w:rsid w:val="00F04852"/>
    <w:rsid w:val="00F074D9"/>
    <w:rsid w:val="00F137BA"/>
    <w:rsid w:val="00F1429D"/>
    <w:rsid w:val="00F17A85"/>
    <w:rsid w:val="00F21AF9"/>
    <w:rsid w:val="00F7143F"/>
    <w:rsid w:val="00F85992"/>
    <w:rsid w:val="00F97EA6"/>
    <w:rsid w:val="00FA0EC3"/>
    <w:rsid w:val="00FA55E9"/>
    <w:rsid w:val="00FA79AA"/>
    <w:rsid w:val="00FB6574"/>
    <w:rsid w:val="00FC0450"/>
    <w:rsid w:val="00FD337F"/>
    <w:rsid w:val="00FE2838"/>
    <w:rsid w:val="00FE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06F12"/>
  <w15:docId w15:val="{C8176313-A31D-4F4C-BB9F-A8E5CBA1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A49"/>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C232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57783"/>
    <w:pPr>
      <w:keepNext/>
      <w:keepLines/>
      <w:spacing w:before="200" w:after="1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00733"/>
    <w:pPr>
      <w:keepNext/>
      <w:keepLines/>
      <w:spacing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86F93"/>
    <w:pPr>
      <w:keepNext/>
      <w:keepLines/>
      <w:spacing w:before="200" w:after="6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ist Paragraph (bulleted list),Bullet 1 List,List Paragraph (numbered (a)),Listes,Bullets"/>
    <w:basedOn w:val="Normal"/>
    <w:link w:val="ListParagraphChar"/>
    <w:uiPriority w:val="34"/>
    <w:qFormat/>
    <w:rsid w:val="007B63F8"/>
    <w:pPr>
      <w:ind w:left="720"/>
      <w:contextualSpacing/>
    </w:pPr>
  </w:style>
  <w:style w:type="paragraph" w:styleId="FootnoteText">
    <w:name w:val="footnote text"/>
    <w:aliases w:val="single space,fn,ALTS FOOTNOTE,Fodnotetekst Tegn,FOOTNOTES,f,ADB,ft,Footnote Text Char1,Footnote Text Char Char,Footnote Text Char2 Char,Footnote Text Char1 Char Char,Footnote Text Char2 Char Char Char,Char"/>
    <w:basedOn w:val="Normal"/>
    <w:link w:val="FootnoteTextChar"/>
    <w:uiPriority w:val="99"/>
    <w:rsid w:val="00281D64"/>
    <w:pPr>
      <w:keepNext/>
      <w:pageBreakBefore/>
      <w:tabs>
        <w:tab w:val="left" w:pos="850"/>
        <w:tab w:val="left" w:pos="1191"/>
        <w:tab w:val="left" w:pos="1531"/>
      </w:tabs>
      <w:spacing w:after="120" w:line="240" w:lineRule="auto"/>
      <w:jc w:val="center"/>
      <w:outlineLvl w:val="1"/>
    </w:pPr>
    <w:rPr>
      <w:rFonts w:ascii="Times New Roman" w:eastAsia="Times New Roman" w:hAnsi="Times New Roman" w:cs="Times New Roman"/>
      <w:b/>
      <w:snapToGrid w:val="0"/>
      <w:color w:val="FFFFFF"/>
      <w:spacing w:val="20"/>
      <w:sz w:val="20"/>
      <w:lang w:val="en-GB" w:eastAsia="fr-FR"/>
    </w:rPr>
  </w:style>
  <w:style w:type="character" w:customStyle="1" w:styleId="FootnoteTextChar">
    <w:name w:val="Footnote Text Char"/>
    <w:aliases w:val="single space Char,fn Char,ALTS FOOTNOTE Char,Fodnotetekst Tegn Char,FOOTNOTES Char,f Char,ADB Char,ft Char,Footnote Text Char1 Char,Footnote Text Char Char Char,Footnote Text Char2 Char Char,Footnote Text Char1 Char Char Char"/>
    <w:basedOn w:val="DefaultParagraphFont"/>
    <w:link w:val="FootnoteText"/>
    <w:uiPriority w:val="99"/>
    <w:rsid w:val="00281D64"/>
    <w:rPr>
      <w:rFonts w:ascii="Times New Roman" w:eastAsia="Times New Roman" w:hAnsi="Times New Roman" w:cs="Times New Roman"/>
      <w:b/>
      <w:snapToGrid w:val="0"/>
      <w:color w:val="FFFFFF"/>
      <w:spacing w:val="20"/>
      <w:sz w:val="20"/>
      <w:lang w:val="en-GB" w:eastAsia="fr-FR"/>
    </w:rPr>
  </w:style>
  <w:style w:type="character" w:styleId="FootnoteReference">
    <w:name w:val="footnote reference"/>
    <w:aliases w:val="ftref,BVI fnr,Ref,de nota al pie,16 Point,Superscript 6 Point,???? ??????-FN,???? ?????? 1,Footnote Reference Number,Odwolanie przypisu,Footnote Reference_LVL6,Footnote Reference_LVL61,Footnote Reference_LVL62,4_G"/>
    <w:uiPriority w:val="99"/>
    <w:rsid w:val="00281D64"/>
    <w:rPr>
      <w:rFonts w:ascii="Arial" w:hAnsi="Arial"/>
      <w:sz w:val="18"/>
      <w:vertAlign w:val="superscript"/>
    </w:rPr>
  </w:style>
  <w:style w:type="paragraph" w:styleId="Header">
    <w:name w:val="header"/>
    <w:basedOn w:val="Normal"/>
    <w:link w:val="HeaderChar"/>
    <w:uiPriority w:val="99"/>
    <w:unhideWhenUsed/>
    <w:rsid w:val="00473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59"/>
  </w:style>
  <w:style w:type="paragraph" w:styleId="Footer">
    <w:name w:val="footer"/>
    <w:basedOn w:val="Normal"/>
    <w:link w:val="FooterChar"/>
    <w:uiPriority w:val="99"/>
    <w:unhideWhenUsed/>
    <w:rsid w:val="0047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59"/>
  </w:style>
  <w:style w:type="character" w:customStyle="1" w:styleId="Heading1Char">
    <w:name w:val="Heading 1 Char"/>
    <w:basedOn w:val="DefaultParagraphFont"/>
    <w:link w:val="Heading1"/>
    <w:uiPriority w:val="9"/>
    <w:rsid w:val="00115A49"/>
    <w:rPr>
      <w:rFonts w:asciiTheme="majorHAnsi" w:eastAsiaTheme="majorEastAsia" w:hAnsiTheme="majorHAnsi" w:cstheme="majorBidi"/>
      <w:b/>
      <w:bCs/>
      <w:color w:val="2C6EAB" w:themeColor="accent1" w:themeShade="B5"/>
      <w:sz w:val="32"/>
      <w:szCs w:val="32"/>
    </w:rPr>
  </w:style>
  <w:style w:type="table" w:styleId="TableGrid">
    <w:name w:val="Table Grid"/>
    <w:basedOn w:val="TableNormal"/>
    <w:uiPriority w:val="59"/>
    <w:rsid w:val="00115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115A49"/>
    <w:pPr>
      <w:spacing w:after="240" w:line="240" w:lineRule="auto"/>
    </w:pPr>
    <w:rPr>
      <w:rFonts w:ascii="Times New Roman" w:hAnsi="Times New Roman" w:cs="Times New Roman"/>
      <w:sz w:val="24"/>
      <w:szCs w:val="24"/>
      <w:lang w:val="fr-FR" w:eastAsia="fr-FR"/>
    </w:rPr>
  </w:style>
  <w:style w:type="character" w:customStyle="1" w:styleId="ListParagraphChar">
    <w:name w:val="List Paragraph Char"/>
    <w:aliases w:val="Indent Paragraph Char,List Paragraph (bulleted list) Char,Bullet 1 List Char,List Paragraph (numbered (a)) Char,Listes Char,Bullets Char"/>
    <w:link w:val="ListParagraph"/>
    <w:uiPriority w:val="34"/>
    <w:locked/>
    <w:rsid w:val="00EE48EB"/>
  </w:style>
  <w:style w:type="paragraph" w:customStyle="1" w:styleId="p28">
    <w:name w:val="p28"/>
    <w:basedOn w:val="Normal"/>
    <w:rsid w:val="00EE48E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Hyperlink">
    <w:name w:val="Hyperlink"/>
    <w:basedOn w:val="DefaultParagraphFont"/>
    <w:uiPriority w:val="99"/>
    <w:semiHidden/>
    <w:unhideWhenUsed/>
    <w:rsid w:val="00EE48EB"/>
    <w:rPr>
      <w:color w:val="0000FF"/>
      <w:u w:val="single"/>
    </w:rPr>
  </w:style>
  <w:style w:type="character" w:customStyle="1" w:styleId="Heading2Char">
    <w:name w:val="Heading 2 Char"/>
    <w:basedOn w:val="DefaultParagraphFont"/>
    <w:link w:val="Heading2"/>
    <w:uiPriority w:val="9"/>
    <w:rsid w:val="00C2324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57783"/>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58607E"/>
    <w:rPr>
      <w:sz w:val="18"/>
      <w:szCs w:val="18"/>
    </w:rPr>
  </w:style>
  <w:style w:type="paragraph" w:styleId="CommentText">
    <w:name w:val="annotation text"/>
    <w:basedOn w:val="Normal"/>
    <w:link w:val="CommentTextChar"/>
    <w:uiPriority w:val="99"/>
    <w:semiHidden/>
    <w:unhideWhenUsed/>
    <w:rsid w:val="0058607E"/>
    <w:pPr>
      <w:spacing w:line="240" w:lineRule="auto"/>
    </w:pPr>
    <w:rPr>
      <w:sz w:val="24"/>
      <w:szCs w:val="24"/>
    </w:rPr>
  </w:style>
  <w:style w:type="character" w:customStyle="1" w:styleId="CommentTextChar">
    <w:name w:val="Comment Text Char"/>
    <w:basedOn w:val="DefaultParagraphFont"/>
    <w:link w:val="CommentText"/>
    <w:uiPriority w:val="99"/>
    <w:semiHidden/>
    <w:rsid w:val="0058607E"/>
    <w:rPr>
      <w:sz w:val="24"/>
      <w:szCs w:val="24"/>
    </w:rPr>
  </w:style>
  <w:style w:type="paragraph" w:styleId="CommentSubject">
    <w:name w:val="annotation subject"/>
    <w:basedOn w:val="CommentText"/>
    <w:next w:val="CommentText"/>
    <w:link w:val="CommentSubjectChar"/>
    <w:uiPriority w:val="99"/>
    <w:semiHidden/>
    <w:unhideWhenUsed/>
    <w:rsid w:val="0058607E"/>
    <w:rPr>
      <w:b/>
      <w:bCs/>
      <w:sz w:val="20"/>
      <w:szCs w:val="20"/>
    </w:rPr>
  </w:style>
  <w:style w:type="character" w:customStyle="1" w:styleId="CommentSubjectChar">
    <w:name w:val="Comment Subject Char"/>
    <w:basedOn w:val="CommentTextChar"/>
    <w:link w:val="CommentSubject"/>
    <w:uiPriority w:val="99"/>
    <w:semiHidden/>
    <w:rsid w:val="0058607E"/>
    <w:rPr>
      <w:b/>
      <w:bCs/>
      <w:sz w:val="20"/>
      <w:szCs w:val="20"/>
    </w:rPr>
  </w:style>
  <w:style w:type="paragraph" w:styleId="BalloonText">
    <w:name w:val="Balloon Text"/>
    <w:basedOn w:val="Normal"/>
    <w:link w:val="BalloonTextChar"/>
    <w:uiPriority w:val="99"/>
    <w:semiHidden/>
    <w:unhideWhenUsed/>
    <w:rsid w:val="005860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07E"/>
    <w:rPr>
      <w:rFonts w:ascii="Lucida Grande" w:hAnsi="Lucida Grande" w:cs="Lucida Grande"/>
      <w:sz w:val="18"/>
      <w:szCs w:val="18"/>
    </w:rPr>
  </w:style>
  <w:style w:type="character" w:customStyle="1" w:styleId="Heading4Char">
    <w:name w:val="Heading 4 Char"/>
    <w:basedOn w:val="DefaultParagraphFont"/>
    <w:link w:val="Heading4"/>
    <w:uiPriority w:val="9"/>
    <w:rsid w:val="00A0073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86F9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2297">
      <w:bodyDiv w:val="1"/>
      <w:marLeft w:val="0"/>
      <w:marRight w:val="0"/>
      <w:marTop w:val="0"/>
      <w:marBottom w:val="0"/>
      <w:divBdr>
        <w:top w:val="none" w:sz="0" w:space="0" w:color="auto"/>
        <w:left w:val="none" w:sz="0" w:space="0" w:color="auto"/>
        <w:bottom w:val="none" w:sz="0" w:space="0" w:color="auto"/>
        <w:right w:val="none" w:sz="0" w:space="0" w:color="auto"/>
      </w:divBdr>
    </w:div>
    <w:div w:id="14428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t@und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2A16FC092AF4F809044162C356A94" ma:contentTypeVersion="8" ma:contentTypeDescription="Create a new document." ma:contentTypeScope="" ma:versionID="1a4c33be39b03c804c70757395ecc564">
  <xsd:schema xmlns:xsd="http://www.w3.org/2001/XMLSchema" xmlns:xs="http://www.w3.org/2001/XMLSchema" xmlns:p="http://schemas.microsoft.com/office/2006/metadata/properties" xmlns:ns2="501a680d-a2ed-40b3-be0d-61edd474576e" xmlns:ns3="da541176-6a10-40dd-91d4-a1fe4121f31b" targetNamespace="http://schemas.microsoft.com/office/2006/metadata/properties" ma:root="true" ma:fieldsID="63d330d386fdcb331cbc006af41ac094" ns2:_="" ns3:_="">
    <xsd:import namespace="501a680d-a2ed-40b3-be0d-61edd474576e"/>
    <xsd:import namespace="da541176-6a10-40dd-91d4-a1fe4121f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a680d-a2ed-40b3-be0d-61edd47457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41176-6a10-40dd-91d4-a1fe4121f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F80D-0FF9-4310-AEF6-B94D89DAD5A6}">
  <ds:schemaRefs>
    <ds:schemaRef ds:uri="http://schemas.microsoft.com/office/2006/metadata/properties"/>
    <ds:schemaRef ds:uri="http://schemas.openxmlformats.org/package/2006/metadata/core-properties"/>
    <ds:schemaRef ds:uri="da541176-6a10-40dd-91d4-a1fe4121f31b"/>
    <ds:schemaRef ds:uri="http://www.w3.org/XML/1998/namespace"/>
    <ds:schemaRef ds:uri="501a680d-a2ed-40b3-be0d-61edd474576e"/>
    <ds:schemaRef ds:uri="http://purl.org/dc/terms/"/>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B719B295-B685-47DD-9700-948D87CBCB97}">
  <ds:schemaRefs>
    <ds:schemaRef ds:uri="http://schemas.microsoft.com/sharepoint/v3/contenttype/forms"/>
  </ds:schemaRefs>
</ds:datastoreItem>
</file>

<file path=customXml/itemProps3.xml><?xml version="1.0" encoding="utf-8"?>
<ds:datastoreItem xmlns:ds="http://schemas.openxmlformats.org/officeDocument/2006/customXml" ds:itemID="{DD0753C3-551C-4C3B-B515-E0F44977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a680d-a2ed-40b3-be0d-61edd474576e"/>
    <ds:schemaRef ds:uri="da541176-6a10-40dd-91d4-a1fe4121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396DF-AD5D-437C-B584-E3131F08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16227</Characters>
  <Application>Microsoft Office Word</Application>
  <DocSecurity>4</DocSecurity>
  <Lines>135</Lines>
  <Paragraphs>38</Paragraphs>
  <ScaleCrop>false</ScaleCrop>
  <HeadingPairs>
    <vt:vector size="8" baseType="variant">
      <vt:variant>
        <vt:lpstr>Title</vt:lpstr>
      </vt:variant>
      <vt:variant>
        <vt:i4>1</vt:i4>
      </vt:variant>
      <vt:variant>
        <vt:lpstr>Headings</vt:lpstr>
      </vt:variant>
      <vt:variant>
        <vt:i4>13</vt:i4>
      </vt:variant>
      <vt:variant>
        <vt:lpstr>Titre</vt:lpstr>
      </vt:variant>
      <vt:variant>
        <vt:i4>1</vt:i4>
      </vt:variant>
      <vt:variant>
        <vt:lpstr>Titolo</vt:lpstr>
      </vt:variant>
      <vt:variant>
        <vt:i4>1</vt:i4>
      </vt:variant>
    </vt:vector>
  </HeadingPairs>
  <TitlesOfParts>
    <vt:vector size="16" baseType="lpstr">
      <vt:lpstr/>
      <vt:lpstr/>
      <vt:lpstr>PNUD-Haïti</vt:lpstr>
      <vt:lpstr>Projet de relèvement post-catastrophe</vt:lpstr>
      <vt:lpstr>Consultation pour soutenir la sensibilisation et le renforcement des capacités p</vt:lpstr>
      <vt:lpstr>Termes de référence</vt:lpstr>
      <vt:lpstr>        CONTEXTE</vt:lpstr>
      <vt:lpstr>        STRATÉGIE</vt:lpstr>
      <vt:lpstr>        OBJECTIFS DU TRAVAUX</vt:lpstr>
      <vt:lpstr>        SPÉCIFICATION DES TÂCHES</vt:lpstr>
      <vt:lpstr>        PRODUITS ATTENDUS ET LIVRABLES</vt:lpstr>
      <vt:lpstr>        DISPOSITIONS D’ORDRE ORGANISATIONNEL</vt:lpstr>
      <vt:lpstr>        QUALIFICATIONS REQUISES</vt:lpstr>
      <vt:lpstr>        CRITÈRES DE SELECTION </vt:lpstr>
      <vt: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Carlito LAUTURE</dc:creator>
  <cp:keywords/>
  <dc:description/>
  <cp:lastModifiedBy>Natacha Paul</cp:lastModifiedBy>
  <cp:revision>2</cp:revision>
  <cp:lastPrinted>2017-05-17T13:21:00Z</cp:lastPrinted>
  <dcterms:created xsi:type="dcterms:W3CDTF">2018-09-12T20:20:00Z</dcterms:created>
  <dcterms:modified xsi:type="dcterms:W3CDTF">2018-09-12T20:20:00Z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0x010100C2E2A16FC092AF4F809044162C356A94</vt:lpwstr>
  </property>
</Properties>
</file>