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CE1" w:rsidRDefault="00FF0CE1" w:rsidP="00FF0CE1">
      <w:pPr>
        <w:pStyle w:val="NoSpacing"/>
        <w:jc w:val="center"/>
        <w:rPr>
          <w:b/>
        </w:rPr>
      </w:pPr>
      <w:r>
        <w:rPr>
          <w:noProof/>
        </w:rPr>
        <w:drawing>
          <wp:inline distT="0" distB="0" distL="0" distR="0" wp14:anchorId="0878AB15" wp14:editId="1847EB72">
            <wp:extent cx="2127087" cy="67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1689" cy="674556"/>
                    </a:xfrm>
                    <a:prstGeom prst="rect">
                      <a:avLst/>
                    </a:prstGeom>
                    <a:noFill/>
                  </pic:spPr>
                </pic:pic>
              </a:graphicData>
            </a:graphic>
          </wp:inline>
        </w:drawing>
      </w:r>
    </w:p>
    <w:tbl>
      <w:tblPr>
        <w:tblW w:w="5096" w:type="pct"/>
        <w:tblCellSpacing w:w="0" w:type="dxa"/>
        <w:tblInd w:w="-180" w:type="dxa"/>
        <w:shd w:val="clear" w:color="auto" w:fill="FFFFFF"/>
        <w:tblCellMar>
          <w:top w:w="50" w:type="dxa"/>
          <w:left w:w="50" w:type="dxa"/>
          <w:bottom w:w="50" w:type="dxa"/>
          <w:right w:w="50" w:type="dxa"/>
        </w:tblCellMar>
        <w:tblLook w:val="04A0" w:firstRow="1" w:lastRow="0" w:firstColumn="1" w:lastColumn="0" w:noHBand="0" w:noVBand="1"/>
      </w:tblPr>
      <w:tblGrid>
        <w:gridCol w:w="9540"/>
      </w:tblGrid>
      <w:tr w:rsidR="00FF0CE1" w:rsidRPr="008F6B38" w:rsidTr="008A6DE6">
        <w:trPr>
          <w:tblCellSpacing w:w="0" w:type="dxa"/>
        </w:trPr>
        <w:tc>
          <w:tcPr>
            <w:tcW w:w="5000" w:type="pct"/>
            <w:shd w:val="clear" w:color="auto" w:fill="FFFFFF"/>
            <w:hideMark/>
          </w:tcPr>
          <w:p w:rsidR="00FF0CE1" w:rsidRPr="00FF0CE1" w:rsidRDefault="00FF0CE1" w:rsidP="00FF0CE1">
            <w:pPr>
              <w:pStyle w:val="NoSpacing"/>
              <w:rPr>
                <w:rFonts w:eastAsia="Times New Roman" w:cs="Times New Roman"/>
                <w:b/>
                <w:color w:val="333333"/>
                <w:lang w:eastAsia="fr-CA"/>
              </w:rPr>
            </w:pPr>
            <w:bookmarkStart w:id="0" w:name="_Hlk515012343"/>
            <w:r w:rsidRPr="00FF0CE1">
              <w:rPr>
                <w:rFonts w:eastAsia="Times New Roman" w:cs="Times New Roman"/>
                <w:b/>
                <w:color w:val="333333"/>
                <w:lang w:eastAsia="fr-CA"/>
              </w:rPr>
              <w:t>PRESENTATION DU PROJET</w:t>
            </w:r>
          </w:p>
          <w:p w:rsidR="00FF0CE1" w:rsidRDefault="00FF0CE1" w:rsidP="00FF0CE1">
            <w:pPr>
              <w:pStyle w:val="NoSpacing"/>
              <w:rPr>
                <w:rFonts w:eastAsia="Times New Roman" w:cs="Times New Roman"/>
                <w:color w:val="333333"/>
                <w:lang w:eastAsia="fr-CA"/>
              </w:rPr>
            </w:pPr>
            <w:r w:rsidRPr="008F6B38">
              <w:rPr>
                <w:rFonts w:eastAsia="Times New Roman" w:cs="Times New Roman"/>
                <w:color w:val="333333"/>
                <w:lang w:eastAsia="fr-CA"/>
              </w:rPr>
              <w:t>Le projet “Programme mondial de la Chaine d’Approvisionnement de la Santé – Gestion des Achats et Approvisionnement (GHSC-PSM) de l’USAID en Haïti a été mis en place par le gouvernement Américain en vue de soutenir les efforts du gouvernement Haïtien précisément dans la lutte contre le VIH. L’objectif est d'assurer des approvisionnements ininterrompus en produits de santé, à l'appui des initiatives de santé publique financées par le gouvernement des États-Unis.</w:t>
            </w:r>
            <w:r w:rsidRPr="008F6B38">
              <w:rPr>
                <w:rFonts w:eastAsia="Times New Roman" w:cs="Times New Roman"/>
                <w:color w:val="333333"/>
                <w:lang w:eastAsia="fr-CA"/>
              </w:rPr>
              <w:br/>
              <w:t>Le projet fournit un soutien direct en matière d'approvisionnement et de gestion de la chaîne d'approvisionnement au Plan d'urgence du Président pour la lutte contre le sida (PEPFAR), à l'Initiative Présidentielle contre la Malaria (PMI) et à la Santé de la Reproduction et Population. </w:t>
            </w:r>
            <w:r w:rsidRPr="008F6B38">
              <w:rPr>
                <w:rFonts w:eastAsia="Times New Roman" w:cs="Times New Roman"/>
                <w:color w:val="333333"/>
                <w:lang w:eastAsia="fr-CA"/>
              </w:rPr>
              <w:br/>
              <w:t>GHSC-PSM Haïti soutient les stratégies et les priorités nationales qui relèvent des trois objectifs suivants :</w:t>
            </w:r>
            <w:r w:rsidRPr="008F6B38">
              <w:rPr>
                <w:rFonts w:eastAsia="Times New Roman" w:cs="Times New Roman"/>
                <w:color w:val="333333"/>
                <w:lang w:eastAsia="fr-CA"/>
              </w:rPr>
              <w:br/>
              <w:t>• Achats et logistique de produits de santé</w:t>
            </w:r>
            <w:r w:rsidRPr="008F6B38">
              <w:rPr>
                <w:rFonts w:eastAsia="Times New Roman" w:cs="Times New Roman"/>
                <w:color w:val="333333"/>
                <w:lang w:eastAsia="fr-CA"/>
              </w:rPr>
              <w:br/>
              <w:t>• Renforcement des systèmes d'assistance technique, et</w:t>
            </w:r>
            <w:r w:rsidRPr="008F6B38">
              <w:rPr>
                <w:rFonts w:eastAsia="Times New Roman" w:cs="Times New Roman"/>
                <w:color w:val="333333"/>
                <w:lang w:eastAsia="fr-CA"/>
              </w:rPr>
              <w:br/>
              <w:t>• Collaboration mondiale et locale pour améliorer la disponibilité à long terme des produits de santé.</w:t>
            </w:r>
            <w:r w:rsidRPr="008F6B38">
              <w:rPr>
                <w:rFonts w:eastAsia="Times New Roman" w:cs="Times New Roman"/>
                <w:color w:val="333333"/>
                <w:lang w:eastAsia="fr-CA"/>
              </w:rPr>
              <w:br/>
              <w:t>Le projet a été mis en œuvre à l'échelle mondiale au cours des deux dernières années par</w:t>
            </w:r>
            <w:r w:rsidR="00BC2DCB">
              <w:rPr>
                <w:rFonts w:eastAsia="Times New Roman" w:cs="Times New Roman"/>
                <w:color w:val="333333"/>
                <w:lang w:eastAsia="fr-CA"/>
              </w:rPr>
              <w:t xml:space="preserve"> Chemonics International via la Fondation Chemonics Haïti.</w:t>
            </w:r>
          </w:p>
          <w:p w:rsidR="008A6DE6" w:rsidRDefault="008A6DE6" w:rsidP="00FF0CE1">
            <w:pPr>
              <w:pStyle w:val="NoSpacing"/>
              <w:rPr>
                <w:rFonts w:eastAsia="Times New Roman" w:cs="Times New Roman"/>
                <w:color w:val="333333"/>
                <w:lang w:eastAsia="fr-CA"/>
              </w:rPr>
            </w:pPr>
          </w:p>
          <w:p w:rsidR="00F32ADB" w:rsidRPr="00F32ADB" w:rsidRDefault="00F32ADB" w:rsidP="00FF0CE1">
            <w:pPr>
              <w:pStyle w:val="NoSpacing"/>
              <w:rPr>
                <w:rFonts w:eastAsia="Times New Roman" w:cs="Times New Roman"/>
                <w:b/>
                <w:color w:val="333333"/>
                <w:lang w:eastAsia="fr-CA"/>
              </w:rPr>
            </w:pPr>
            <w:r w:rsidRPr="00F32ADB">
              <w:rPr>
                <w:rFonts w:eastAsia="Times New Roman" w:cs="Times New Roman"/>
                <w:b/>
                <w:color w:val="333333"/>
                <w:lang w:eastAsia="fr-CA"/>
              </w:rPr>
              <w:t>INTRODUCTION</w:t>
            </w:r>
          </w:p>
          <w:p w:rsidR="00FF0CE1" w:rsidRPr="008F6B38" w:rsidRDefault="00FF0CE1" w:rsidP="008A6DE6">
            <w:pPr>
              <w:pStyle w:val="NoSpacing"/>
              <w:jc w:val="both"/>
              <w:rPr>
                <w:rFonts w:eastAsia="Times New Roman" w:cs="Times New Roman"/>
                <w:color w:val="333333"/>
                <w:lang w:eastAsia="fr-CA"/>
              </w:rPr>
            </w:pPr>
            <w:bookmarkStart w:id="1" w:name="_Hlk515011519"/>
            <w:r>
              <w:rPr>
                <w:rFonts w:eastAsia="Times New Roman" w:cs="Times New Roman"/>
                <w:color w:val="333333"/>
                <w:lang w:eastAsia="fr-CA"/>
              </w:rPr>
              <w:t xml:space="preserve">Considérant que le projet a besoin d’assurer le bon fonctionnement et la pérennité de ses </w:t>
            </w:r>
            <w:r w:rsidR="0020344F">
              <w:rPr>
                <w:rFonts w:eastAsia="Times New Roman" w:cs="Times New Roman"/>
                <w:color w:val="333333"/>
                <w:lang w:eastAsia="fr-CA"/>
              </w:rPr>
              <w:t>équipements,</w:t>
            </w:r>
            <w:r w:rsidR="008A6DE6">
              <w:rPr>
                <w:rFonts w:eastAsia="Times New Roman" w:cs="Times New Roman"/>
                <w:color w:val="333333"/>
                <w:lang w:eastAsia="fr-CA"/>
              </w:rPr>
              <w:t xml:space="preserve"> il</w:t>
            </w:r>
            <w:r>
              <w:rPr>
                <w:rFonts w:eastAsia="Times New Roman" w:cs="Times New Roman"/>
                <w:color w:val="333333"/>
                <w:lang w:eastAsia="fr-CA"/>
              </w:rPr>
              <w:t xml:space="preserve"> fait appel à une firme compétente, expérimentée et qualifiée pour exécuter l</w:t>
            </w:r>
            <w:r w:rsidR="00E136A5">
              <w:rPr>
                <w:rFonts w:eastAsia="Times New Roman" w:cs="Times New Roman"/>
                <w:color w:val="333333"/>
                <w:lang w:eastAsia="fr-CA"/>
              </w:rPr>
              <w:t>’acquisition, le transport et l’installation de deux (2) génératrices tel</w:t>
            </w:r>
            <w:r>
              <w:rPr>
                <w:rFonts w:eastAsia="Times New Roman" w:cs="Times New Roman"/>
                <w:color w:val="333333"/>
                <w:lang w:eastAsia="fr-CA"/>
              </w:rPr>
              <w:t xml:space="preserve"> que dé</w:t>
            </w:r>
            <w:r w:rsidR="00E136A5">
              <w:rPr>
                <w:rFonts w:eastAsia="Times New Roman" w:cs="Times New Roman"/>
                <w:color w:val="333333"/>
                <w:lang w:eastAsia="fr-CA"/>
              </w:rPr>
              <w:t>crit</w:t>
            </w:r>
            <w:r>
              <w:rPr>
                <w:rFonts w:eastAsia="Times New Roman" w:cs="Times New Roman"/>
                <w:color w:val="333333"/>
                <w:lang w:eastAsia="fr-CA"/>
              </w:rPr>
              <w:t xml:space="preserve"> ci-après. </w:t>
            </w:r>
            <w:bookmarkEnd w:id="1"/>
          </w:p>
        </w:tc>
      </w:tr>
    </w:tbl>
    <w:p w:rsidR="00FF0CE1" w:rsidRDefault="00FF0CE1" w:rsidP="00891032">
      <w:pPr>
        <w:pStyle w:val="NoSpacing"/>
        <w:rPr>
          <w:b/>
        </w:rPr>
      </w:pPr>
    </w:p>
    <w:p w:rsidR="00E37B55" w:rsidRPr="00891032" w:rsidRDefault="00E136A5" w:rsidP="00891032">
      <w:pPr>
        <w:pStyle w:val="NoSpacing"/>
        <w:rPr>
          <w:b/>
        </w:rPr>
      </w:pPr>
      <w:r>
        <w:rPr>
          <w:b/>
        </w:rPr>
        <w:t>BESOIN DU PROJET</w:t>
      </w:r>
      <w:r w:rsidR="00E37B55" w:rsidRPr="00891032">
        <w:rPr>
          <w:b/>
        </w:rPr>
        <w:t xml:space="preserve"> </w:t>
      </w:r>
    </w:p>
    <w:p w:rsidR="00452F22" w:rsidRDefault="00622A6C" w:rsidP="00E136A5">
      <w:pPr>
        <w:pStyle w:val="NoSpacing"/>
        <w:jc w:val="both"/>
      </w:pPr>
      <w:r>
        <w:t xml:space="preserve">Le </w:t>
      </w:r>
      <w:r w:rsidR="00E136A5">
        <w:t xml:space="preserve">projet </w:t>
      </w:r>
      <w:r w:rsidR="00E136A5" w:rsidRPr="00E136A5">
        <w:rPr>
          <w:lang w:eastAsia="fr-CA"/>
        </w:rPr>
        <w:t xml:space="preserve">GHSC-PSM/Chemonics </w:t>
      </w:r>
      <w:r w:rsidR="00E136A5">
        <w:t xml:space="preserve">a besoin d’alimenter 24/24 et 7/7 sans arrêt son </w:t>
      </w:r>
      <w:proofErr w:type="spellStart"/>
      <w:r w:rsidR="00E136A5">
        <w:t>warehouse</w:t>
      </w:r>
      <w:proofErr w:type="spellEnd"/>
      <w:r w:rsidR="00E136A5">
        <w:t xml:space="preserve"> en énergie électrique stable, fiable, efficace et efficiente.</w:t>
      </w:r>
    </w:p>
    <w:p w:rsidR="00891032" w:rsidRDefault="00891032" w:rsidP="00891032">
      <w:pPr>
        <w:pStyle w:val="NoSpacing"/>
      </w:pPr>
    </w:p>
    <w:p w:rsidR="006E5F2E" w:rsidRPr="006E5F2E" w:rsidRDefault="006E5F2E" w:rsidP="00452F22">
      <w:pPr>
        <w:pStyle w:val="NoSpacing"/>
        <w:jc w:val="both"/>
        <w:rPr>
          <w:b/>
        </w:rPr>
      </w:pPr>
      <w:r w:rsidRPr="006E5F2E">
        <w:rPr>
          <w:b/>
        </w:rPr>
        <w:t>D</w:t>
      </w:r>
      <w:r w:rsidR="003573C3">
        <w:rPr>
          <w:b/>
        </w:rPr>
        <w:t>ESCRIPTION DE</w:t>
      </w:r>
      <w:r w:rsidR="00FF0CE1">
        <w:rPr>
          <w:b/>
        </w:rPr>
        <w:t xml:space="preserve"> TACHES</w:t>
      </w:r>
    </w:p>
    <w:p w:rsidR="00E136A5" w:rsidRPr="00EA648A" w:rsidRDefault="00E136A5" w:rsidP="00EA648A">
      <w:pPr>
        <w:pStyle w:val="NoSpacing"/>
        <w:jc w:val="both"/>
      </w:pPr>
      <w:r w:rsidRPr="00EA648A">
        <w:t xml:space="preserve">GHSC-PSM/Chemonics invite les fournisseurs qualifiés et intéressés à cette offre de soumettre leurs cotations pour </w:t>
      </w:r>
      <w:r w:rsidR="00EA648A">
        <w:t>l’</w:t>
      </w:r>
      <w:r w:rsidRPr="00EA648A">
        <w:t>acquisition</w:t>
      </w:r>
      <w:r w:rsidR="00EA648A">
        <w:t>, le transport, la livraison</w:t>
      </w:r>
      <w:r w:rsidRPr="00EA648A">
        <w:t xml:space="preserve"> et </w:t>
      </w:r>
      <w:r w:rsidR="00EA648A">
        <w:t>l’</w:t>
      </w:r>
      <w:r w:rsidRPr="00EA648A">
        <w:t>installation de groupe</w:t>
      </w:r>
      <w:r w:rsidR="00EA648A">
        <w:t>s</w:t>
      </w:r>
      <w:r w:rsidRPr="00EA648A">
        <w:t xml:space="preserve"> électrogène</w:t>
      </w:r>
      <w:r w:rsidR="00EA648A">
        <w:t>s</w:t>
      </w:r>
      <w:r w:rsidRPr="00EA648A">
        <w:t xml:space="preserve"> industriel</w:t>
      </w:r>
      <w:r w:rsidR="00EA648A">
        <w:t>s</w:t>
      </w:r>
      <w:r w:rsidRPr="00EA648A">
        <w:t>. </w:t>
      </w:r>
      <w:r w:rsidRPr="00EA648A">
        <w:br/>
        <w:t>GHSC-PSM/Chemonics est à la recherche d'un fournisseur fia</w:t>
      </w:r>
      <w:r w:rsidR="00EA648A">
        <w:t xml:space="preserve">ble avec la capacité de fournir, </w:t>
      </w:r>
      <w:r w:rsidRPr="00EA648A">
        <w:t>de livrer et d’installer dans un délai raisonnable deux (2) groupes électrogènes dont les spécifications sont fournies dans ce présent document après la signature d’un bon de commande.</w:t>
      </w:r>
    </w:p>
    <w:p w:rsidR="00E136A5" w:rsidRPr="00E136A5" w:rsidRDefault="00E136A5" w:rsidP="00E136A5">
      <w:pPr>
        <w:pStyle w:val="NoSpacing"/>
        <w:rPr>
          <w:b/>
          <w:lang w:eastAsia="fr-CA"/>
        </w:rPr>
      </w:pPr>
    </w:p>
    <w:p w:rsidR="00E136A5" w:rsidRPr="00E136A5" w:rsidRDefault="00E136A5" w:rsidP="00E136A5">
      <w:pPr>
        <w:pStyle w:val="NoSpacing"/>
        <w:rPr>
          <w:b/>
          <w:lang w:val="fr-FR" w:eastAsia="fr-CA"/>
        </w:rPr>
      </w:pPr>
      <w:r w:rsidRPr="00E136A5">
        <w:rPr>
          <w:b/>
          <w:lang w:eastAsia="fr-CA"/>
        </w:rPr>
        <w:t>SPECIFICATIONS ET EXIGENCES TECHNIQUES OBLIGATOIRES</w:t>
      </w:r>
    </w:p>
    <w:p w:rsidR="00B82425" w:rsidRPr="00EA648A" w:rsidRDefault="00B82425" w:rsidP="00EA648A">
      <w:pPr>
        <w:pStyle w:val="ListParagraph"/>
        <w:numPr>
          <w:ilvl w:val="0"/>
          <w:numId w:val="12"/>
        </w:numPr>
        <w:autoSpaceDE w:val="0"/>
        <w:autoSpaceDN w:val="0"/>
        <w:adjustRightInd w:val="0"/>
        <w:spacing w:after="0" w:line="240" w:lineRule="auto"/>
        <w:jc w:val="both"/>
        <w:rPr>
          <w:rFonts w:cs="Calibri"/>
          <w:bCs/>
          <w:color w:val="000000"/>
        </w:rPr>
      </w:pPr>
      <w:proofErr w:type="spellStart"/>
      <w:r w:rsidRPr="00EA648A">
        <w:rPr>
          <w:rFonts w:cs="Calibri"/>
          <w:bCs/>
          <w:color w:val="000000"/>
        </w:rPr>
        <w:t>Industrial</w:t>
      </w:r>
      <w:proofErr w:type="spellEnd"/>
      <w:r w:rsidRPr="00EA648A">
        <w:rPr>
          <w:rFonts w:cs="Calibri"/>
          <w:bCs/>
          <w:color w:val="000000"/>
        </w:rPr>
        <w:t xml:space="preserve"> </w:t>
      </w:r>
      <w:proofErr w:type="spellStart"/>
      <w:r w:rsidRPr="00EA648A">
        <w:rPr>
          <w:rFonts w:cs="Calibri"/>
          <w:bCs/>
          <w:color w:val="000000"/>
        </w:rPr>
        <w:t>Generator</w:t>
      </w:r>
      <w:proofErr w:type="spellEnd"/>
      <w:r w:rsidRPr="00EA648A">
        <w:rPr>
          <w:rFonts w:cs="Calibri"/>
          <w:bCs/>
          <w:color w:val="000000"/>
        </w:rPr>
        <w:t xml:space="preserve">/Groupe </w:t>
      </w:r>
      <w:proofErr w:type="spellStart"/>
      <w:r w:rsidRPr="00EA648A">
        <w:rPr>
          <w:rFonts w:cs="Calibri"/>
          <w:bCs/>
          <w:color w:val="000000"/>
        </w:rPr>
        <w:t>Electrogene</w:t>
      </w:r>
      <w:proofErr w:type="spellEnd"/>
      <w:r w:rsidRPr="00EA648A">
        <w:rPr>
          <w:rFonts w:cs="Calibri"/>
          <w:bCs/>
          <w:color w:val="000000"/>
        </w:rPr>
        <w:t xml:space="preserve"> Industriel</w:t>
      </w:r>
    </w:p>
    <w:p w:rsidR="00B82425" w:rsidRPr="00F9128A" w:rsidRDefault="00B82425" w:rsidP="00B82425">
      <w:pPr>
        <w:pStyle w:val="ListParagraph"/>
        <w:numPr>
          <w:ilvl w:val="0"/>
          <w:numId w:val="12"/>
        </w:numPr>
        <w:autoSpaceDE w:val="0"/>
        <w:autoSpaceDN w:val="0"/>
        <w:adjustRightInd w:val="0"/>
        <w:spacing w:after="0" w:line="240" w:lineRule="auto"/>
        <w:jc w:val="both"/>
        <w:rPr>
          <w:rFonts w:cs="Calibri"/>
          <w:bCs/>
          <w:color w:val="000000"/>
        </w:rPr>
      </w:pPr>
      <w:proofErr w:type="spellStart"/>
      <w:r w:rsidRPr="00F9128A">
        <w:rPr>
          <w:rFonts w:cs="Calibri"/>
          <w:bCs/>
          <w:color w:val="000000"/>
        </w:rPr>
        <w:t>Generator</w:t>
      </w:r>
      <w:proofErr w:type="spellEnd"/>
      <w:r w:rsidRPr="00F9128A">
        <w:rPr>
          <w:rFonts w:cs="Calibri"/>
          <w:bCs/>
          <w:color w:val="000000"/>
        </w:rPr>
        <w:t xml:space="preserve"> power/Puissance:</w:t>
      </w:r>
      <w:r w:rsidRPr="00F9128A">
        <w:rPr>
          <w:rFonts w:cs="Calibri"/>
          <w:color w:val="000000"/>
        </w:rPr>
        <w:t xml:space="preserve"> 250-300 KW</w:t>
      </w:r>
    </w:p>
    <w:p w:rsidR="00B82425" w:rsidRPr="00F9128A" w:rsidRDefault="00B82425" w:rsidP="00B82425">
      <w:pPr>
        <w:pStyle w:val="ListParagraph"/>
        <w:numPr>
          <w:ilvl w:val="0"/>
          <w:numId w:val="12"/>
        </w:numPr>
        <w:autoSpaceDE w:val="0"/>
        <w:autoSpaceDN w:val="0"/>
        <w:adjustRightInd w:val="0"/>
        <w:spacing w:after="0" w:line="240" w:lineRule="auto"/>
        <w:jc w:val="both"/>
        <w:rPr>
          <w:rFonts w:cs="Calibri"/>
          <w:bCs/>
          <w:color w:val="000000"/>
        </w:rPr>
      </w:pPr>
      <w:r w:rsidRPr="00F9128A">
        <w:rPr>
          <w:rFonts w:cs="Calibri"/>
          <w:bCs/>
          <w:color w:val="000000"/>
        </w:rPr>
        <w:t xml:space="preserve">Operating </w:t>
      </w:r>
      <w:proofErr w:type="spellStart"/>
      <w:r w:rsidRPr="00F9128A">
        <w:rPr>
          <w:rFonts w:cs="Calibri"/>
          <w:bCs/>
          <w:color w:val="000000"/>
        </w:rPr>
        <w:t>frequency</w:t>
      </w:r>
      <w:proofErr w:type="spellEnd"/>
      <w:r w:rsidRPr="00F9128A">
        <w:rPr>
          <w:rFonts w:cs="Calibri"/>
          <w:bCs/>
          <w:color w:val="000000"/>
        </w:rPr>
        <w:t>/</w:t>
      </w:r>
      <w:proofErr w:type="spellStart"/>
      <w:r w:rsidRPr="00F9128A">
        <w:rPr>
          <w:rFonts w:cs="Calibri"/>
          <w:bCs/>
          <w:color w:val="000000"/>
        </w:rPr>
        <w:t>Frequence</w:t>
      </w:r>
      <w:proofErr w:type="spellEnd"/>
      <w:r w:rsidRPr="00F9128A">
        <w:rPr>
          <w:rFonts w:cs="Calibri"/>
          <w:bCs/>
          <w:color w:val="000000"/>
        </w:rPr>
        <w:t>:</w:t>
      </w:r>
      <w:r w:rsidRPr="00F9128A">
        <w:rPr>
          <w:rFonts w:cs="Calibri"/>
          <w:color w:val="000000"/>
        </w:rPr>
        <w:t xml:space="preserve">  60Hz</w:t>
      </w:r>
    </w:p>
    <w:p w:rsidR="00B82425" w:rsidRPr="00F9128A" w:rsidRDefault="00B82425" w:rsidP="00B82425">
      <w:pPr>
        <w:pStyle w:val="ListParagraph"/>
        <w:numPr>
          <w:ilvl w:val="0"/>
          <w:numId w:val="12"/>
        </w:numPr>
        <w:autoSpaceDE w:val="0"/>
        <w:autoSpaceDN w:val="0"/>
        <w:adjustRightInd w:val="0"/>
        <w:spacing w:after="0" w:line="240" w:lineRule="auto"/>
        <w:jc w:val="both"/>
        <w:rPr>
          <w:rFonts w:cs="Calibri"/>
          <w:bCs/>
          <w:color w:val="000000"/>
        </w:rPr>
      </w:pPr>
      <w:r w:rsidRPr="00F9128A">
        <w:rPr>
          <w:rFonts w:cs="Calibri"/>
          <w:bCs/>
          <w:color w:val="000000"/>
        </w:rPr>
        <w:t xml:space="preserve">Fuel/Type </w:t>
      </w:r>
      <w:proofErr w:type="spellStart"/>
      <w:r w:rsidRPr="00F9128A">
        <w:rPr>
          <w:rFonts w:cs="Calibri"/>
          <w:bCs/>
          <w:color w:val="000000"/>
        </w:rPr>
        <w:t>d’energie</w:t>
      </w:r>
      <w:proofErr w:type="spellEnd"/>
      <w:r w:rsidRPr="00F9128A">
        <w:rPr>
          <w:rFonts w:cs="Calibri"/>
          <w:bCs/>
          <w:color w:val="000000"/>
        </w:rPr>
        <w:t>:</w:t>
      </w:r>
      <w:r w:rsidRPr="00F9128A">
        <w:rPr>
          <w:rFonts w:cs="Calibri"/>
          <w:color w:val="000000"/>
        </w:rPr>
        <w:t xml:space="preserve"> Diesel </w:t>
      </w:r>
    </w:p>
    <w:p w:rsidR="00B82425" w:rsidRDefault="00B82425" w:rsidP="00B82425">
      <w:pPr>
        <w:pStyle w:val="ListParagraph"/>
        <w:numPr>
          <w:ilvl w:val="0"/>
          <w:numId w:val="12"/>
        </w:numPr>
        <w:autoSpaceDE w:val="0"/>
        <w:autoSpaceDN w:val="0"/>
        <w:adjustRightInd w:val="0"/>
        <w:spacing w:after="0" w:line="240" w:lineRule="auto"/>
        <w:jc w:val="both"/>
        <w:rPr>
          <w:rFonts w:cs="Calibri"/>
          <w:bCs/>
          <w:color w:val="000000"/>
        </w:rPr>
      </w:pPr>
      <w:proofErr w:type="spellStart"/>
      <w:r w:rsidRPr="00F9128A">
        <w:rPr>
          <w:rFonts w:cs="Calibri"/>
          <w:bCs/>
          <w:color w:val="000000"/>
        </w:rPr>
        <w:t>Three</w:t>
      </w:r>
      <w:proofErr w:type="spellEnd"/>
      <w:r w:rsidRPr="00F9128A">
        <w:rPr>
          <w:rFonts w:cs="Calibri"/>
          <w:bCs/>
          <w:color w:val="000000"/>
        </w:rPr>
        <w:t>-phase/Triphasé</w:t>
      </w:r>
    </w:p>
    <w:p w:rsidR="00B82425" w:rsidRPr="00F9128A" w:rsidRDefault="00B82425" w:rsidP="00B82425">
      <w:pPr>
        <w:pStyle w:val="ListParagraph"/>
        <w:numPr>
          <w:ilvl w:val="0"/>
          <w:numId w:val="12"/>
        </w:numPr>
        <w:autoSpaceDE w:val="0"/>
        <w:autoSpaceDN w:val="0"/>
        <w:adjustRightInd w:val="0"/>
        <w:spacing w:after="0" w:line="240" w:lineRule="auto"/>
        <w:jc w:val="both"/>
        <w:rPr>
          <w:rFonts w:cs="Calibri"/>
          <w:bCs/>
          <w:color w:val="000000"/>
        </w:rPr>
      </w:pPr>
      <w:r w:rsidRPr="00F9128A">
        <w:rPr>
          <w:rFonts w:cs="Calibri"/>
          <w:bCs/>
          <w:color w:val="000000"/>
        </w:rPr>
        <w:t xml:space="preserve">Brand: </w:t>
      </w:r>
      <w:r w:rsidRPr="00F9128A">
        <w:rPr>
          <w:rFonts w:cs="Calibri"/>
          <w:color w:val="000000"/>
        </w:rPr>
        <w:t>new/état neuf</w:t>
      </w:r>
    </w:p>
    <w:p w:rsidR="00B82425" w:rsidRPr="00F9128A" w:rsidRDefault="00B82425" w:rsidP="00B82425">
      <w:pPr>
        <w:pStyle w:val="ListParagraph"/>
        <w:numPr>
          <w:ilvl w:val="0"/>
          <w:numId w:val="12"/>
        </w:numPr>
        <w:autoSpaceDE w:val="0"/>
        <w:autoSpaceDN w:val="0"/>
        <w:adjustRightInd w:val="0"/>
        <w:spacing w:after="0" w:line="240" w:lineRule="auto"/>
        <w:jc w:val="both"/>
        <w:rPr>
          <w:rFonts w:cs="Calibri"/>
          <w:bCs/>
          <w:color w:val="000000"/>
        </w:rPr>
      </w:pPr>
      <w:r w:rsidRPr="00F9128A">
        <w:rPr>
          <w:rFonts w:cs="Calibri"/>
          <w:bCs/>
          <w:color w:val="000000"/>
        </w:rPr>
        <w:t xml:space="preserve">Fabrication </w:t>
      </w:r>
      <w:proofErr w:type="spellStart"/>
      <w:r w:rsidRPr="00F9128A">
        <w:rPr>
          <w:rFonts w:cs="Calibri"/>
          <w:bCs/>
          <w:color w:val="000000"/>
        </w:rPr>
        <w:t>Year</w:t>
      </w:r>
      <w:proofErr w:type="spellEnd"/>
      <w:r w:rsidRPr="00F9128A">
        <w:rPr>
          <w:rFonts w:cs="Calibri"/>
          <w:bCs/>
          <w:color w:val="000000"/>
        </w:rPr>
        <w:t>/Année de fabrication</w:t>
      </w:r>
      <w:r w:rsidRPr="00F9128A">
        <w:rPr>
          <w:rFonts w:cs="Calibri"/>
          <w:color w:val="000000"/>
        </w:rPr>
        <w:t>: A partir de 2017</w:t>
      </w:r>
    </w:p>
    <w:p w:rsidR="00B82425" w:rsidRPr="00F9128A" w:rsidRDefault="00B82425" w:rsidP="00B82425">
      <w:pPr>
        <w:pStyle w:val="ListParagraph"/>
        <w:numPr>
          <w:ilvl w:val="0"/>
          <w:numId w:val="12"/>
        </w:numPr>
        <w:autoSpaceDE w:val="0"/>
        <w:autoSpaceDN w:val="0"/>
        <w:adjustRightInd w:val="0"/>
        <w:spacing w:after="0" w:line="240" w:lineRule="auto"/>
        <w:jc w:val="both"/>
        <w:rPr>
          <w:rFonts w:cs="Calibri"/>
          <w:bCs/>
          <w:color w:val="000000"/>
        </w:rPr>
      </w:pPr>
      <w:r w:rsidRPr="00F9128A">
        <w:rPr>
          <w:rFonts w:cs="Calibri"/>
          <w:bCs/>
          <w:color w:val="000000"/>
        </w:rPr>
        <w:t>Voltage:</w:t>
      </w:r>
      <w:r w:rsidRPr="00F9128A">
        <w:rPr>
          <w:rFonts w:cs="Calibri"/>
          <w:color w:val="000000"/>
        </w:rPr>
        <w:t xml:space="preserve"> 120/240 V</w:t>
      </w:r>
    </w:p>
    <w:p w:rsidR="00B82425" w:rsidRPr="00F9128A" w:rsidRDefault="00B82425" w:rsidP="00B82425">
      <w:pPr>
        <w:pStyle w:val="ListParagraph"/>
        <w:numPr>
          <w:ilvl w:val="0"/>
          <w:numId w:val="12"/>
        </w:numPr>
        <w:autoSpaceDE w:val="0"/>
        <w:autoSpaceDN w:val="0"/>
        <w:adjustRightInd w:val="0"/>
        <w:spacing w:after="0" w:line="240" w:lineRule="auto"/>
        <w:jc w:val="both"/>
        <w:rPr>
          <w:rFonts w:cs="Calibri"/>
          <w:bCs/>
          <w:color w:val="000000"/>
        </w:rPr>
      </w:pPr>
      <w:r w:rsidRPr="00F9128A">
        <w:rPr>
          <w:rFonts w:cs="Calibri"/>
          <w:bCs/>
          <w:color w:val="000000"/>
          <w:lang w:val="fr-FR"/>
        </w:rPr>
        <w:t>Silent/Silencieux, capoté et Insonorisé</w:t>
      </w:r>
    </w:p>
    <w:p w:rsidR="00B82425" w:rsidRPr="00F9128A" w:rsidRDefault="00B82425" w:rsidP="00B82425">
      <w:pPr>
        <w:pStyle w:val="ListParagraph"/>
        <w:numPr>
          <w:ilvl w:val="0"/>
          <w:numId w:val="12"/>
        </w:numPr>
        <w:autoSpaceDE w:val="0"/>
        <w:autoSpaceDN w:val="0"/>
        <w:adjustRightInd w:val="0"/>
        <w:spacing w:after="0" w:line="240" w:lineRule="auto"/>
        <w:jc w:val="both"/>
        <w:rPr>
          <w:rFonts w:cs="Calibri"/>
          <w:bCs/>
          <w:color w:val="000000"/>
        </w:rPr>
      </w:pPr>
      <w:r w:rsidRPr="00B82425">
        <w:rPr>
          <w:rFonts w:cs="Calibri"/>
          <w:bCs/>
          <w:color w:val="000000"/>
          <w:lang w:val="en-US"/>
        </w:rPr>
        <w:t xml:space="preserve">Auto-start/manual operating control. </w:t>
      </w:r>
      <w:r w:rsidRPr="00F9128A">
        <w:rPr>
          <w:rFonts w:cs="Calibri"/>
          <w:bCs/>
          <w:color w:val="000000"/>
          <w:lang w:val="fr-FR"/>
        </w:rPr>
        <w:t>Démarrage automatique et Commande manuelle</w:t>
      </w:r>
    </w:p>
    <w:p w:rsidR="00B82425" w:rsidRPr="00B82425" w:rsidRDefault="00B82425" w:rsidP="00B82425">
      <w:pPr>
        <w:pStyle w:val="ListParagraph"/>
        <w:numPr>
          <w:ilvl w:val="0"/>
          <w:numId w:val="12"/>
        </w:numPr>
        <w:autoSpaceDE w:val="0"/>
        <w:autoSpaceDN w:val="0"/>
        <w:adjustRightInd w:val="0"/>
        <w:spacing w:after="0" w:line="240" w:lineRule="auto"/>
        <w:jc w:val="both"/>
        <w:rPr>
          <w:rFonts w:cs="Calibri"/>
          <w:bCs/>
          <w:color w:val="000000"/>
          <w:lang w:val="en-US"/>
        </w:rPr>
      </w:pPr>
      <w:r w:rsidRPr="00B82425">
        <w:rPr>
          <w:rFonts w:cs="Calibri"/>
          <w:bCs/>
          <w:color w:val="000000"/>
          <w:lang w:val="en-US"/>
        </w:rPr>
        <w:lastRenderedPageBreak/>
        <w:t>Continuous operation hours/</w:t>
      </w:r>
      <w:proofErr w:type="spellStart"/>
      <w:r w:rsidRPr="00B82425">
        <w:rPr>
          <w:rFonts w:cs="Calibri"/>
          <w:bCs/>
          <w:color w:val="000000"/>
          <w:lang w:val="en-US"/>
        </w:rPr>
        <w:t>Autonomie</w:t>
      </w:r>
      <w:proofErr w:type="spellEnd"/>
      <w:r w:rsidRPr="00B82425">
        <w:rPr>
          <w:rFonts w:cs="Calibri"/>
          <w:bCs/>
          <w:color w:val="000000"/>
          <w:lang w:val="en-US"/>
        </w:rPr>
        <w:t>:</w:t>
      </w:r>
      <w:r w:rsidRPr="00B82425">
        <w:rPr>
          <w:rFonts w:cs="Calibri"/>
          <w:color w:val="000000"/>
          <w:lang w:val="en-US"/>
        </w:rPr>
        <w:t xml:space="preserve"> 12 Hours/day</w:t>
      </w:r>
    </w:p>
    <w:p w:rsidR="00B82425" w:rsidRDefault="00B82425" w:rsidP="00B82425">
      <w:pPr>
        <w:pStyle w:val="ListParagraph"/>
        <w:numPr>
          <w:ilvl w:val="0"/>
          <w:numId w:val="12"/>
        </w:numPr>
        <w:autoSpaceDE w:val="0"/>
        <w:autoSpaceDN w:val="0"/>
        <w:adjustRightInd w:val="0"/>
        <w:spacing w:after="0" w:line="240" w:lineRule="auto"/>
        <w:jc w:val="both"/>
        <w:rPr>
          <w:rFonts w:cs="Calibri"/>
          <w:bCs/>
          <w:color w:val="000000"/>
        </w:rPr>
      </w:pPr>
      <w:proofErr w:type="spellStart"/>
      <w:r w:rsidRPr="00F9128A">
        <w:rPr>
          <w:rFonts w:cs="Calibri"/>
          <w:bCs/>
          <w:color w:val="000000"/>
        </w:rPr>
        <w:t>Three</w:t>
      </w:r>
      <w:proofErr w:type="spellEnd"/>
      <w:r w:rsidRPr="00F9128A">
        <w:rPr>
          <w:rFonts w:cs="Calibri"/>
          <w:bCs/>
          <w:color w:val="000000"/>
        </w:rPr>
        <w:t xml:space="preserve"> maintenances </w:t>
      </w:r>
      <w:proofErr w:type="spellStart"/>
      <w:r w:rsidRPr="00F9128A">
        <w:rPr>
          <w:rFonts w:cs="Calibri"/>
          <w:bCs/>
          <w:color w:val="000000"/>
        </w:rPr>
        <w:t>after</w:t>
      </w:r>
      <w:proofErr w:type="spellEnd"/>
      <w:r w:rsidRPr="00F9128A">
        <w:rPr>
          <w:rFonts w:cs="Calibri"/>
          <w:bCs/>
          <w:color w:val="000000"/>
        </w:rPr>
        <w:t xml:space="preserve"> sale</w:t>
      </w:r>
    </w:p>
    <w:p w:rsidR="00B82425" w:rsidRPr="00F9128A" w:rsidRDefault="00B82425" w:rsidP="00B82425">
      <w:pPr>
        <w:pStyle w:val="ListParagraph"/>
        <w:numPr>
          <w:ilvl w:val="0"/>
          <w:numId w:val="12"/>
        </w:numPr>
        <w:autoSpaceDE w:val="0"/>
        <w:autoSpaceDN w:val="0"/>
        <w:adjustRightInd w:val="0"/>
        <w:spacing w:after="0" w:line="240" w:lineRule="auto"/>
        <w:jc w:val="both"/>
        <w:rPr>
          <w:rFonts w:cs="Calibri"/>
          <w:bCs/>
          <w:color w:val="000000"/>
        </w:rPr>
      </w:pPr>
      <w:proofErr w:type="spellStart"/>
      <w:r w:rsidRPr="00F9128A">
        <w:rPr>
          <w:rFonts w:cs="Calibri"/>
          <w:color w:val="000000"/>
        </w:rPr>
        <w:t>Include</w:t>
      </w:r>
      <w:proofErr w:type="spellEnd"/>
      <w:r w:rsidRPr="00F9128A">
        <w:rPr>
          <w:rFonts w:cs="Calibri"/>
          <w:color w:val="000000"/>
        </w:rPr>
        <w:t xml:space="preserve"> maintenance </w:t>
      </w:r>
      <w:proofErr w:type="spellStart"/>
      <w:r w:rsidRPr="00F9128A">
        <w:rPr>
          <w:rFonts w:cs="Calibri"/>
          <w:color w:val="000000"/>
        </w:rPr>
        <w:t>manual</w:t>
      </w:r>
      <w:proofErr w:type="spellEnd"/>
      <w:r w:rsidRPr="00F9128A">
        <w:rPr>
          <w:rFonts w:cs="Calibri"/>
          <w:color w:val="000000"/>
        </w:rPr>
        <w:t xml:space="preserve"> </w:t>
      </w:r>
      <w:proofErr w:type="spellStart"/>
      <w:r w:rsidRPr="00F9128A">
        <w:rPr>
          <w:rFonts w:cs="Calibri"/>
          <w:color w:val="000000"/>
        </w:rPr>
        <w:t>from</w:t>
      </w:r>
      <w:proofErr w:type="spellEnd"/>
      <w:r w:rsidRPr="00F9128A">
        <w:rPr>
          <w:rFonts w:cs="Calibri"/>
          <w:color w:val="000000"/>
        </w:rPr>
        <w:t xml:space="preserve"> manufacturer</w:t>
      </w:r>
    </w:p>
    <w:p w:rsidR="00B82425" w:rsidRPr="00B82425" w:rsidRDefault="00B82425" w:rsidP="00B82425">
      <w:pPr>
        <w:pStyle w:val="ListParagraph"/>
        <w:numPr>
          <w:ilvl w:val="0"/>
          <w:numId w:val="12"/>
        </w:numPr>
        <w:autoSpaceDE w:val="0"/>
        <w:autoSpaceDN w:val="0"/>
        <w:adjustRightInd w:val="0"/>
        <w:spacing w:after="0" w:line="240" w:lineRule="auto"/>
        <w:jc w:val="both"/>
        <w:rPr>
          <w:rFonts w:cs="Calibri"/>
          <w:bCs/>
          <w:color w:val="000000"/>
        </w:rPr>
      </w:pPr>
      <w:proofErr w:type="spellStart"/>
      <w:r w:rsidRPr="00F9128A">
        <w:rPr>
          <w:rFonts w:cs="Calibri"/>
          <w:bCs/>
          <w:color w:val="000000"/>
        </w:rPr>
        <w:t>Warranty</w:t>
      </w:r>
      <w:proofErr w:type="spellEnd"/>
      <w:r w:rsidRPr="00F9128A">
        <w:rPr>
          <w:rFonts w:cs="Calibri"/>
          <w:bCs/>
          <w:color w:val="000000"/>
        </w:rPr>
        <w:t>:</w:t>
      </w:r>
      <w:r w:rsidRPr="00F9128A">
        <w:rPr>
          <w:rFonts w:cs="Calibri"/>
          <w:color w:val="000000"/>
        </w:rPr>
        <w:t xml:space="preserve"> 24 </w:t>
      </w:r>
      <w:proofErr w:type="spellStart"/>
      <w:r w:rsidRPr="00F9128A">
        <w:rPr>
          <w:rFonts w:cs="Calibri"/>
          <w:color w:val="000000"/>
        </w:rPr>
        <w:t>months</w:t>
      </w:r>
      <w:proofErr w:type="spellEnd"/>
      <w:r w:rsidRPr="00F9128A">
        <w:rPr>
          <w:rFonts w:cs="Calibri"/>
          <w:color w:val="000000"/>
        </w:rPr>
        <w:t>.</w:t>
      </w:r>
    </w:p>
    <w:p w:rsidR="00B82425" w:rsidRPr="00B82425" w:rsidRDefault="00E136A5" w:rsidP="00B82425">
      <w:pPr>
        <w:pStyle w:val="ListParagraph"/>
        <w:numPr>
          <w:ilvl w:val="0"/>
          <w:numId w:val="12"/>
        </w:numPr>
        <w:autoSpaceDE w:val="0"/>
        <w:autoSpaceDN w:val="0"/>
        <w:adjustRightInd w:val="0"/>
        <w:spacing w:after="0" w:line="240" w:lineRule="auto"/>
        <w:jc w:val="both"/>
        <w:rPr>
          <w:rFonts w:cs="Calibri"/>
          <w:bCs/>
          <w:color w:val="000000"/>
          <w:lang w:val="en-US"/>
        </w:rPr>
      </w:pPr>
      <w:r w:rsidRPr="00B82425">
        <w:rPr>
          <w:rFonts w:cs="Calibri"/>
          <w:color w:val="000000"/>
          <w:lang w:val="en-US"/>
        </w:rPr>
        <w:t>Provide name of manufacturers of Engine and Alternator and Country of sourcing in the quote</w:t>
      </w:r>
    </w:p>
    <w:p w:rsidR="00B82425" w:rsidRPr="00BC21E7" w:rsidRDefault="00E136A5" w:rsidP="00B82425">
      <w:pPr>
        <w:pStyle w:val="ListParagraph"/>
        <w:numPr>
          <w:ilvl w:val="0"/>
          <w:numId w:val="12"/>
        </w:numPr>
        <w:autoSpaceDE w:val="0"/>
        <w:autoSpaceDN w:val="0"/>
        <w:adjustRightInd w:val="0"/>
        <w:spacing w:after="0" w:line="240" w:lineRule="auto"/>
        <w:jc w:val="both"/>
        <w:rPr>
          <w:rFonts w:cs="Calibri"/>
          <w:bCs/>
          <w:color w:val="000000"/>
          <w:highlight w:val="green"/>
        </w:rPr>
      </w:pPr>
      <w:r w:rsidRPr="00BC21E7">
        <w:rPr>
          <w:rFonts w:cs="Calibri"/>
          <w:b/>
          <w:bCs/>
          <w:color w:val="000000"/>
          <w:highlight w:val="green"/>
          <w:lang w:val="fr-FR"/>
        </w:rPr>
        <w:t>Installation Electrique :</w:t>
      </w:r>
      <w:r w:rsidRPr="00BC21E7">
        <w:rPr>
          <w:rFonts w:cs="Calibri"/>
          <w:color w:val="000000"/>
          <w:highlight w:val="green"/>
          <w:lang w:val="fr-FR"/>
        </w:rPr>
        <w:t xml:space="preserve"> In</w:t>
      </w:r>
      <w:r w:rsidR="00EA648A" w:rsidRPr="00BC21E7">
        <w:rPr>
          <w:rFonts w:cs="Calibri"/>
          <w:color w:val="000000"/>
          <w:highlight w:val="green"/>
          <w:lang w:val="fr-FR"/>
        </w:rPr>
        <w:t>stallation électrique et raccordement des deux (2) génératrices</w:t>
      </w:r>
      <w:r w:rsidRPr="00BC21E7">
        <w:rPr>
          <w:rFonts w:cs="Calibri"/>
          <w:color w:val="000000"/>
          <w:highlight w:val="green"/>
          <w:lang w:val="fr-FR"/>
        </w:rPr>
        <w:t xml:space="preserve"> au panneau de </w:t>
      </w:r>
      <w:r w:rsidR="00EA648A" w:rsidRPr="00BC21E7">
        <w:rPr>
          <w:rFonts w:cs="Calibri"/>
          <w:color w:val="000000"/>
          <w:highlight w:val="green"/>
          <w:lang w:val="fr-FR"/>
        </w:rPr>
        <w:t>contrôle d’un système électrique existant ;</w:t>
      </w:r>
    </w:p>
    <w:p w:rsidR="00B82425" w:rsidRPr="00BC21E7" w:rsidRDefault="00E136A5" w:rsidP="00B82425">
      <w:pPr>
        <w:pStyle w:val="ListParagraph"/>
        <w:numPr>
          <w:ilvl w:val="0"/>
          <w:numId w:val="12"/>
        </w:numPr>
        <w:autoSpaceDE w:val="0"/>
        <w:autoSpaceDN w:val="0"/>
        <w:adjustRightInd w:val="0"/>
        <w:spacing w:after="0" w:line="240" w:lineRule="auto"/>
        <w:jc w:val="both"/>
        <w:rPr>
          <w:rFonts w:cs="Calibri"/>
          <w:bCs/>
          <w:color w:val="000000"/>
          <w:highlight w:val="green"/>
        </w:rPr>
      </w:pPr>
      <w:r w:rsidRPr="00BC21E7">
        <w:rPr>
          <w:rFonts w:cs="Calibri"/>
          <w:b/>
          <w:bCs/>
          <w:color w:val="000000"/>
          <w:highlight w:val="green"/>
          <w:lang w:val="fr-FR"/>
        </w:rPr>
        <w:t>Formation :</w:t>
      </w:r>
      <w:r w:rsidRPr="00BC21E7">
        <w:rPr>
          <w:rFonts w:cs="Calibri"/>
          <w:color w:val="000000"/>
          <w:highlight w:val="green"/>
          <w:lang w:val="fr-FR"/>
        </w:rPr>
        <w:t xml:space="preserve"> Un minimum d’un jour de formation au personnel qui </w:t>
      </w:r>
      <w:r w:rsidR="00B82425" w:rsidRPr="00BC21E7">
        <w:rPr>
          <w:rFonts w:cs="Calibri"/>
          <w:color w:val="000000"/>
          <w:highlight w:val="green"/>
          <w:lang w:val="fr-FR"/>
        </w:rPr>
        <w:t>gère le</w:t>
      </w:r>
      <w:r w:rsidRPr="00BC21E7">
        <w:rPr>
          <w:rFonts w:cs="Calibri"/>
          <w:color w:val="000000"/>
          <w:highlight w:val="green"/>
          <w:lang w:val="fr-FR"/>
        </w:rPr>
        <w:t xml:space="preserve"> fonctionnement des groupes électrogènes est </w:t>
      </w:r>
      <w:r w:rsidR="00B82425" w:rsidRPr="00BC21E7">
        <w:rPr>
          <w:rFonts w:cs="Calibri"/>
          <w:color w:val="000000"/>
          <w:highlight w:val="green"/>
          <w:lang w:val="fr-FR"/>
        </w:rPr>
        <w:t>obligatoire ;</w:t>
      </w:r>
    </w:p>
    <w:p w:rsidR="00E136A5" w:rsidRPr="00E136A5" w:rsidRDefault="00E136A5" w:rsidP="00E136A5">
      <w:pPr>
        <w:pStyle w:val="NoSpacing"/>
        <w:rPr>
          <w:lang w:val="fr-FR"/>
        </w:rPr>
      </w:pPr>
    </w:p>
    <w:p w:rsidR="00B82425" w:rsidRDefault="00B82425" w:rsidP="00B82425">
      <w:pPr>
        <w:jc w:val="both"/>
        <w:rPr>
          <w:b/>
        </w:rPr>
      </w:pPr>
      <w:r>
        <w:rPr>
          <w:b/>
        </w:rPr>
        <w:t xml:space="preserve">CRITERES DE SELECTION </w:t>
      </w:r>
    </w:p>
    <w:p w:rsidR="00B82425" w:rsidRDefault="00B82425" w:rsidP="00B82425">
      <w:pPr>
        <w:spacing w:after="0" w:line="240" w:lineRule="auto"/>
        <w:jc w:val="both"/>
        <w:rPr>
          <w:lang w:val="fr-FR"/>
        </w:rPr>
      </w:pPr>
      <w:r>
        <w:rPr>
          <w:lang w:val="fr-FR"/>
        </w:rPr>
        <w:t>Le marché sera accordé au fournisseur ayant l’offre la plus compétitive techniquement acceptable et qui répond aux exigences du RFQ.</w:t>
      </w:r>
    </w:p>
    <w:p w:rsidR="003573C3" w:rsidRDefault="003573C3" w:rsidP="00B82425">
      <w:pPr>
        <w:spacing w:after="0" w:line="240" w:lineRule="auto"/>
        <w:jc w:val="both"/>
        <w:rPr>
          <w:lang w:val="fr-FR"/>
        </w:rPr>
      </w:pPr>
    </w:p>
    <w:p w:rsidR="003573C3" w:rsidRPr="003573C3" w:rsidRDefault="003573C3" w:rsidP="00B82425">
      <w:pPr>
        <w:spacing w:after="0" w:line="240" w:lineRule="auto"/>
        <w:jc w:val="both"/>
        <w:rPr>
          <w:b/>
          <w:lang w:val="fr-FR"/>
        </w:rPr>
      </w:pPr>
      <w:r w:rsidRPr="003573C3">
        <w:rPr>
          <w:b/>
          <w:lang w:val="fr-FR"/>
        </w:rPr>
        <w:t>RESPONSABILITES DES SOUMISSIONNAIRES</w:t>
      </w:r>
    </w:p>
    <w:p w:rsidR="003573C3" w:rsidRDefault="003573C3" w:rsidP="003573C3">
      <w:pPr>
        <w:pStyle w:val="NoSpacing"/>
        <w:rPr>
          <w:rFonts w:cs="Calibri"/>
          <w:lang w:val="fr-FR"/>
        </w:rPr>
      </w:pPr>
      <w:r w:rsidRPr="00E136A5">
        <w:rPr>
          <w:lang w:eastAsia="fr-CA"/>
        </w:rPr>
        <w:t xml:space="preserve">GHSC-PSM/Chemonics </w:t>
      </w:r>
      <w:r>
        <w:rPr>
          <w:lang w:eastAsia="fr-CA"/>
        </w:rPr>
        <w:t>applique le respect des normes de manière très rigoureuse</w:t>
      </w:r>
      <w:r>
        <w:rPr>
          <w:rFonts w:cs="Calibri"/>
          <w:lang w:val="fr-FR"/>
        </w:rPr>
        <w:t xml:space="preserve"> par rapport à son accord avec l’offrant, et devra être rassurée qu’il est</w:t>
      </w:r>
      <w:r w:rsidR="00D857D0">
        <w:rPr>
          <w:rFonts w:cs="Calibri"/>
          <w:lang w:val="fr-FR"/>
        </w:rPr>
        <w:t xml:space="preserve"> un offrant responsable. Au cours de l’évaluation</w:t>
      </w:r>
      <w:r>
        <w:rPr>
          <w:rFonts w:cs="Calibri"/>
          <w:lang w:val="fr-FR"/>
        </w:rPr>
        <w:t xml:space="preserve"> de la responsabilité d</w:t>
      </w:r>
      <w:r w:rsidR="00D857D0">
        <w:rPr>
          <w:rFonts w:cs="Calibri"/>
          <w:lang w:val="fr-FR"/>
        </w:rPr>
        <w:t>u soumissionnaire</w:t>
      </w:r>
      <w:r>
        <w:rPr>
          <w:rFonts w:cs="Calibri"/>
          <w:lang w:val="fr-FR"/>
        </w:rPr>
        <w:t>, les facteurs suivants sont pris en considération :</w:t>
      </w:r>
    </w:p>
    <w:p w:rsidR="00EA648A" w:rsidRDefault="003573C3" w:rsidP="00EA648A">
      <w:pPr>
        <w:pStyle w:val="NoSpacing"/>
        <w:numPr>
          <w:ilvl w:val="0"/>
          <w:numId w:val="15"/>
        </w:numPr>
        <w:rPr>
          <w:rFonts w:cs="Calibri"/>
          <w:lang w:val="fr-FR"/>
        </w:rPr>
      </w:pPr>
      <w:r>
        <w:rPr>
          <w:rFonts w:cs="Calibri"/>
          <w:lang w:val="fr-FR"/>
        </w:rPr>
        <w:t>Copie de la patente</w:t>
      </w:r>
      <w:r w:rsidR="00D857D0">
        <w:rPr>
          <w:rFonts w:cs="Calibri"/>
          <w:lang w:val="fr-FR"/>
        </w:rPr>
        <w:t xml:space="preserve"> et du quitus valide ;</w:t>
      </w:r>
    </w:p>
    <w:p w:rsidR="00EA648A" w:rsidRDefault="003573C3" w:rsidP="00EA648A">
      <w:pPr>
        <w:pStyle w:val="NoSpacing"/>
        <w:numPr>
          <w:ilvl w:val="0"/>
          <w:numId w:val="15"/>
        </w:numPr>
        <w:rPr>
          <w:rFonts w:cs="Calibri"/>
          <w:lang w:val="fr-FR"/>
        </w:rPr>
      </w:pPr>
      <w:r w:rsidRPr="00EA648A">
        <w:rPr>
          <w:rFonts w:cs="Calibri"/>
          <w:lang w:val="fr-FR"/>
        </w:rPr>
        <w:t>Facture Pro forma ;</w:t>
      </w:r>
    </w:p>
    <w:p w:rsidR="00EA648A" w:rsidRDefault="003573C3" w:rsidP="00EA648A">
      <w:pPr>
        <w:pStyle w:val="NoSpacing"/>
        <w:numPr>
          <w:ilvl w:val="0"/>
          <w:numId w:val="15"/>
        </w:numPr>
        <w:rPr>
          <w:rFonts w:cs="Calibri"/>
          <w:lang w:val="fr-FR"/>
        </w:rPr>
      </w:pPr>
      <w:r w:rsidRPr="00EA648A">
        <w:rPr>
          <w:rFonts w:cs="Calibri"/>
          <w:lang w:val="fr-FR"/>
        </w:rPr>
        <w:t>Délai de livraison ;</w:t>
      </w:r>
    </w:p>
    <w:p w:rsidR="00EA648A" w:rsidRDefault="003573C3" w:rsidP="00EA648A">
      <w:pPr>
        <w:pStyle w:val="NoSpacing"/>
        <w:numPr>
          <w:ilvl w:val="0"/>
          <w:numId w:val="15"/>
        </w:numPr>
        <w:rPr>
          <w:rFonts w:cs="Calibri"/>
          <w:lang w:val="fr-FR"/>
        </w:rPr>
      </w:pPr>
      <w:r w:rsidRPr="00EA648A">
        <w:rPr>
          <w:rFonts w:cs="Calibri"/>
          <w:lang w:val="fr-FR"/>
        </w:rPr>
        <w:t>La période de validité de l’offre ;</w:t>
      </w:r>
    </w:p>
    <w:p w:rsidR="003573C3" w:rsidRPr="00EA648A" w:rsidRDefault="003573C3" w:rsidP="00EA648A">
      <w:pPr>
        <w:pStyle w:val="NoSpacing"/>
        <w:numPr>
          <w:ilvl w:val="0"/>
          <w:numId w:val="15"/>
        </w:numPr>
        <w:rPr>
          <w:rFonts w:cs="Calibri"/>
          <w:lang w:val="fr-FR"/>
        </w:rPr>
      </w:pPr>
      <w:r w:rsidRPr="00EA648A">
        <w:rPr>
          <w:rFonts w:cs="Calibri"/>
          <w:lang w:val="fr-FR"/>
        </w:rPr>
        <w:t xml:space="preserve">La source, l'origine et la nationalité des </w:t>
      </w:r>
      <w:r w:rsidR="00D857D0" w:rsidRPr="00EA648A">
        <w:rPr>
          <w:rFonts w:cs="Calibri"/>
          <w:lang w:val="fr-FR"/>
        </w:rPr>
        <w:t>équipements</w:t>
      </w:r>
      <w:r w:rsidRPr="00EA648A">
        <w:rPr>
          <w:rFonts w:cs="Calibri"/>
          <w:lang w:val="fr-FR"/>
        </w:rPr>
        <w:t xml:space="preserve"> ne sont pas d'un pays</w:t>
      </w:r>
    </w:p>
    <w:p w:rsidR="00EA648A" w:rsidRDefault="00D857D0" w:rsidP="00EA648A">
      <w:pPr>
        <w:pStyle w:val="NoSpacing"/>
        <w:ind w:left="720"/>
        <w:rPr>
          <w:rFonts w:cs="Calibri"/>
          <w:lang w:val="fr-FR"/>
        </w:rPr>
      </w:pPr>
      <w:proofErr w:type="gramStart"/>
      <w:r>
        <w:rPr>
          <w:rFonts w:cs="Calibri"/>
          <w:lang w:val="fr-FR"/>
        </w:rPr>
        <w:t>interdit</w:t>
      </w:r>
      <w:proofErr w:type="gramEnd"/>
      <w:r w:rsidR="003573C3">
        <w:rPr>
          <w:rFonts w:cs="Calibri"/>
          <w:lang w:val="fr-FR"/>
        </w:rPr>
        <w:t xml:space="preserve"> (voir ci-dessous).</w:t>
      </w:r>
    </w:p>
    <w:p w:rsidR="003573C3" w:rsidRPr="00EA648A" w:rsidRDefault="003573C3" w:rsidP="008A1E1F">
      <w:pPr>
        <w:pStyle w:val="NoSpacing"/>
        <w:numPr>
          <w:ilvl w:val="0"/>
          <w:numId w:val="15"/>
        </w:numPr>
        <w:rPr>
          <w:rFonts w:cs="Calibri"/>
          <w:lang w:val="fr-FR"/>
        </w:rPr>
      </w:pPr>
      <w:r w:rsidRPr="00EA648A">
        <w:rPr>
          <w:rFonts w:cs="Calibri"/>
          <w:lang w:val="fr-FR"/>
        </w:rPr>
        <w:t>L’offrant doit avoir la capacité de collaborer avec d’autres entités au</w:t>
      </w:r>
    </w:p>
    <w:p w:rsidR="003573C3" w:rsidRDefault="003573C3" w:rsidP="003573C3">
      <w:pPr>
        <w:pStyle w:val="NoSpacing"/>
        <w:rPr>
          <w:rFonts w:ascii="Arial" w:hAnsi="Arial" w:cs="Arial"/>
          <w:lang w:val="fr-FR"/>
        </w:rPr>
      </w:pPr>
      <w:r w:rsidRPr="00D857D0">
        <w:rPr>
          <w:rFonts w:cs="Calibri"/>
          <w:lang w:val="fr-FR"/>
        </w:rPr>
        <w:t xml:space="preserve">             </w:t>
      </w:r>
      <w:proofErr w:type="gramStart"/>
      <w:r w:rsidRPr="00D857D0">
        <w:rPr>
          <w:rFonts w:cs="Calibri"/>
          <w:lang w:val="fr-FR"/>
        </w:rPr>
        <w:t>moment</w:t>
      </w:r>
      <w:proofErr w:type="gramEnd"/>
      <w:r w:rsidRPr="00D857D0">
        <w:rPr>
          <w:rFonts w:cs="Calibri"/>
          <w:lang w:val="fr-FR"/>
        </w:rPr>
        <w:t xml:space="preserve"> de la mise en place du système</w:t>
      </w:r>
      <w:r w:rsidR="00D857D0">
        <w:rPr>
          <w:rFonts w:cs="Calibri"/>
          <w:lang w:val="fr-FR"/>
        </w:rPr>
        <w:t>.</w:t>
      </w:r>
    </w:p>
    <w:p w:rsidR="00B82425" w:rsidRDefault="00B82425" w:rsidP="00B82425">
      <w:pPr>
        <w:spacing w:after="0" w:line="240" w:lineRule="auto"/>
        <w:jc w:val="both"/>
        <w:rPr>
          <w:lang w:val="fr-FR"/>
        </w:rPr>
      </w:pPr>
    </w:p>
    <w:p w:rsidR="00EA648A" w:rsidRDefault="00E37B55" w:rsidP="00EA648A">
      <w:pPr>
        <w:jc w:val="both"/>
        <w:rPr>
          <w:b/>
        </w:rPr>
      </w:pPr>
      <w:r w:rsidRPr="003573C3">
        <w:rPr>
          <w:b/>
        </w:rPr>
        <w:t>Q</w:t>
      </w:r>
      <w:r w:rsidR="003573C3">
        <w:rPr>
          <w:b/>
        </w:rPr>
        <w:t xml:space="preserve">UALIFICATIONS </w:t>
      </w:r>
    </w:p>
    <w:p w:rsidR="00EA648A" w:rsidRPr="00EA648A" w:rsidRDefault="00E37B55" w:rsidP="00EA648A">
      <w:pPr>
        <w:pStyle w:val="ListParagraph"/>
        <w:numPr>
          <w:ilvl w:val="0"/>
          <w:numId w:val="16"/>
        </w:numPr>
        <w:jc w:val="both"/>
        <w:rPr>
          <w:b/>
        </w:rPr>
      </w:pPr>
      <w:r>
        <w:t>La compagnie doit être qualifiée, exp</w:t>
      </w:r>
      <w:r w:rsidR="00174271">
        <w:t xml:space="preserve">érimentée et spécialisée dans le </w:t>
      </w:r>
      <w:r>
        <w:t>domaine</w:t>
      </w:r>
      <w:r w:rsidR="003573C3">
        <w:t xml:space="preserve"> d’électromécanique</w:t>
      </w:r>
      <w:r w:rsidR="00174271">
        <w:t xml:space="preserve"> en Haïti.</w:t>
      </w:r>
      <w:r>
        <w:t xml:space="preserve"> </w:t>
      </w:r>
    </w:p>
    <w:p w:rsidR="00EA648A" w:rsidRPr="00EA648A" w:rsidRDefault="00E37B55" w:rsidP="00EA648A">
      <w:pPr>
        <w:pStyle w:val="ListParagraph"/>
        <w:numPr>
          <w:ilvl w:val="0"/>
          <w:numId w:val="16"/>
        </w:numPr>
        <w:jc w:val="both"/>
        <w:rPr>
          <w:b/>
        </w:rPr>
      </w:pPr>
      <w:r>
        <w:t>La compagnie doit avoir au moins 5 ans d’expériences dans le domaine</w:t>
      </w:r>
      <w:r w:rsidR="00174271">
        <w:t>.</w:t>
      </w:r>
    </w:p>
    <w:p w:rsidR="00EA648A" w:rsidRPr="00EA648A" w:rsidRDefault="00E37B55" w:rsidP="00EA648A">
      <w:pPr>
        <w:pStyle w:val="ListParagraph"/>
        <w:numPr>
          <w:ilvl w:val="0"/>
          <w:numId w:val="16"/>
        </w:numPr>
        <w:jc w:val="both"/>
        <w:rPr>
          <w:b/>
        </w:rPr>
      </w:pPr>
      <w:r>
        <w:t xml:space="preserve">La compagnie doit avoir ses propres équipements </w:t>
      </w:r>
      <w:r w:rsidR="00174271">
        <w:t xml:space="preserve">et outils </w:t>
      </w:r>
      <w:r w:rsidR="003573C3">
        <w:t>pour faire le transport, la manutention et l’installation.</w:t>
      </w:r>
    </w:p>
    <w:p w:rsidR="00E37B55" w:rsidRPr="00EA648A" w:rsidRDefault="00174271" w:rsidP="00EA648A">
      <w:pPr>
        <w:pStyle w:val="ListParagraph"/>
        <w:numPr>
          <w:ilvl w:val="0"/>
          <w:numId w:val="16"/>
        </w:numPr>
        <w:jc w:val="both"/>
        <w:rPr>
          <w:b/>
        </w:rPr>
      </w:pPr>
      <w:r>
        <w:t xml:space="preserve">Les techniciens </w:t>
      </w:r>
      <w:r w:rsidR="006D7D16">
        <w:t>qui</w:t>
      </w:r>
      <w:r w:rsidR="00E37B55">
        <w:t xml:space="preserve"> exécute</w:t>
      </w:r>
      <w:r w:rsidR="006D7D16">
        <w:t>nt</w:t>
      </w:r>
      <w:r w:rsidR="00E37B55">
        <w:t xml:space="preserve"> les travaux doivent être</w:t>
      </w:r>
      <w:r w:rsidR="006D7D16">
        <w:t xml:space="preserve"> toujours</w:t>
      </w:r>
      <w:r w:rsidR="00E37B55">
        <w:t xml:space="preserve"> identifiés </w:t>
      </w:r>
      <w:r>
        <w:t xml:space="preserve">et équipés de </w:t>
      </w:r>
      <w:r w:rsidR="00910746">
        <w:t>matériels de</w:t>
      </w:r>
      <w:r>
        <w:t xml:space="preserve"> sécurité </w:t>
      </w:r>
      <w:r w:rsidR="00910746">
        <w:t>adéquats</w:t>
      </w:r>
      <w:r>
        <w:t xml:space="preserve"> en prévention d’accident sur le site.</w:t>
      </w:r>
    </w:p>
    <w:p w:rsidR="00EA648A" w:rsidRDefault="00E37B55" w:rsidP="00EA648A">
      <w:pPr>
        <w:jc w:val="both"/>
        <w:rPr>
          <w:b/>
        </w:rPr>
      </w:pPr>
      <w:r w:rsidRPr="003573C3">
        <w:rPr>
          <w:b/>
        </w:rPr>
        <w:t xml:space="preserve">SOUMISSION DE L’OFFRE </w:t>
      </w:r>
    </w:p>
    <w:p w:rsidR="00EA648A" w:rsidRPr="00EA648A" w:rsidRDefault="00E37B55" w:rsidP="00EA648A">
      <w:pPr>
        <w:pStyle w:val="ListParagraph"/>
        <w:numPr>
          <w:ilvl w:val="0"/>
          <w:numId w:val="17"/>
        </w:numPr>
        <w:jc w:val="both"/>
        <w:rPr>
          <w:b/>
        </w:rPr>
      </w:pPr>
      <w:r>
        <w:t>La v</w:t>
      </w:r>
      <w:r w:rsidR="008358BF">
        <w:t xml:space="preserve">isite des sites est obligatoire afin </w:t>
      </w:r>
      <w:r w:rsidR="003573C3">
        <w:t>de voir</w:t>
      </w:r>
      <w:r w:rsidR="008358BF">
        <w:t xml:space="preserve"> l</w:t>
      </w:r>
      <w:r w:rsidR="00B82425">
        <w:t xml:space="preserve">e lieu de disposition, les raccordements existants pour les réservoirs d’essence, les circuits et </w:t>
      </w:r>
      <w:r w:rsidR="003573C3">
        <w:t>les câbles</w:t>
      </w:r>
      <w:r w:rsidR="00B82425">
        <w:t xml:space="preserve"> électriques des deux (2) groupes électrogènes</w:t>
      </w:r>
      <w:r w:rsidR="008358BF">
        <w:t>.</w:t>
      </w:r>
      <w:bookmarkStart w:id="2" w:name="_GoBack"/>
      <w:bookmarkEnd w:id="2"/>
    </w:p>
    <w:p w:rsidR="00EA648A" w:rsidRPr="00EA648A" w:rsidRDefault="00E37B55" w:rsidP="00EA648A">
      <w:pPr>
        <w:pStyle w:val="ListParagraph"/>
        <w:numPr>
          <w:ilvl w:val="0"/>
          <w:numId w:val="17"/>
        </w:numPr>
        <w:jc w:val="both"/>
        <w:rPr>
          <w:b/>
        </w:rPr>
      </w:pPr>
      <w:r>
        <w:t>Les offres doiven</w:t>
      </w:r>
      <w:r w:rsidR="006E5F2E">
        <w:t xml:space="preserve">t être soumises au plus tard </w:t>
      </w:r>
      <w:r w:rsidR="00B933AD">
        <w:t xml:space="preserve">le </w:t>
      </w:r>
      <w:r w:rsidR="00B82425">
        <w:t>2</w:t>
      </w:r>
      <w:r w:rsidR="00D751DD">
        <w:t>8</w:t>
      </w:r>
      <w:r w:rsidR="00B82425">
        <w:t xml:space="preserve"> </w:t>
      </w:r>
      <w:r w:rsidR="00D751DD">
        <w:t>juin</w:t>
      </w:r>
      <w:r w:rsidR="00B82425">
        <w:t xml:space="preserve"> </w:t>
      </w:r>
      <w:r w:rsidR="00D751DD">
        <w:t>2018 à 4</w:t>
      </w:r>
      <w:r>
        <w:t xml:space="preserve">:00 PM, </w:t>
      </w:r>
      <w:r w:rsidR="006E5F2E">
        <w:t>#118, Air</w:t>
      </w:r>
      <w:r w:rsidR="00891032">
        <w:t>port</w:t>
      </w:r>
      <w:r w:rsidR="006E5F2E">
        <w:t xml:space="preserve"> industriel de Fleuriot</w:t>
      </w:r>
      <w:r w:rsidR="00EA648A">
        <w:t>.</w:t>
      </w:r>
    </w:p>
    <w:p w:rsidR="00EA648A" w:rsidRPr="00EA648A" w:rsidRDefault="00E37B55" w:rsidP="00EA648A">
      <w:pPr>
        <w:pStyle w:val="ListParagraph"/>
        <w:numPr>
          <w:ilvl w:val="0"/>
          <w:numId w:val="17"/>
        </w:numPr>
        <w:jc w:val="both"/>
        <w:rPr>
          <w:b/>
        </w:rPr>
      </w:pPr>
      <w:r>
        <w:t xml:space="preserve">L'offre doit contenir: le </w:t>
      </w:r>
      <w:r w:rsidR="006E5F2E">
        <w:t>coût</w:t>
      </w:r>
      <w:r>
        <w:t xml:space="preserve"> d</w:t>
      </w:r>
      <w:r w:rsidR="00B82425">
        <w:t xml:space="preserve">’acquisition, l’installation, le transport et la livraison des deux (2) groupes </w:t>
      </w:r>
      <w:r w:rsidR="003573C3">
        <w:t>et une</w:t>
      </w:r>
      <w:r>
        <w:t xml:space="preserve"> copie des documents légaux</w:t>
      </w:r>
      <w:r w:rsidR="006E5F2E">
        <w:t xml:space="preserve"> (p</w:t>
      </w:r>
      <w:r w:rsidR="006D7D16">
        <w:t>atente, quitus, enregistrement au</w:t>
      </w:r>
      <w:r w:rsidR="006E5F2E">
        <w:t xml:space="preserve"> MCI, etc.)</w:t>
      </w:r>
    </w:p>
    <w:p w:rsidR="00EA648A" w:rsidRPr="00EA648A" w:rsidRDefault="003573C3" w:rsidP="00EA648A">
      <w:pPr>
        <w:pStyle w:val="ListParagraph"/>
        <w:numPr>
          <w:ilvl w:val="0"/>
          <w:numId w:val="17"/>
        </w:numPr>
        <w:jc w:val="both"/>
        <w:rPr>
          <w:b/>
        </w:rPr>
      </w:pPr>
      <w:r w:rsidRPr="00EA648A">
        <w:rPr>
          <w:lang w:val="fr-FR"/>
        </w:rPr>
        <w:lastRenderedPageBreak/>
        <w:t>Les offres tardives seront rejetées, sauf dans des circonstances exceptionnelles, à la discrétion de GHSC-PSM.</w:t>
      </w:r>
    </w:p>
    <w:p w:rsidR="00EA648A" w:rsidRPr="00EA648A" w:rsidRDefault="003573C3" w:rsidP="00EA648A">
      <w:pPr>
        <w:pStyle w:val="ListParagraph"/>
        <w:numPr>
          <w:ilvl w:val="0"/>
          <w:numId w:val="17"/>
        </w:numPr>
        <w:jc w:val="both"/>
        <w:rPr>
          <w:b/>
        </w:rPr>
      </w:pPr>
      <w:r w:rsidRPr="00EA648A">
        <w:rPr>
          <w:lang w:val="fr-FR"/>
        </w:rPr>
        <w:t>Les offrants doivent présenter une proposition écrite et complète en copie dure ou par email en français/anglais sous PDF signée et scellée. Les offres verbales ne seront pas considérées. Veuillez inclure sur l'enveloppe scellée le numéro du RFQ</w:t>
      </w:r>
      <w:r w:rsidRPr="00EA648A">
        <w:rPr>
          <w:b/>
          <w:lang w:val="fr-FR"/>
        </w:rPr>
        <w:t>.</w:t>
      </w:r>
    </w:p>
    <w:p w:rsidR="003573C3" w:rsidRPr="00EA648A" w:rsidRDefault="003573C3" w:rsidP="00EA648A">
      <w:pPr>
        <w:pStyle w:val="ListParagraph"/>
        <w:numPr>
          <w:ilvl w:val="0"/>
          <w:numId w:val="17"/>
        </w:numPr>
        <w:jc w:val="both"/>
        <w:rPr>
          <w:b/>
        </w:rPr>
      </w:pPr>
      <w:r w:rsidRPr="00EA648A">
        <w:rPr>
          <w:lang w:val="fr-FR"/>
        </w:rPr>
        <w:t>Ces achats sont admissibles à l'exonération de la TCA.</w:t>
      </w:r>
    </w:p>
    <w:bookmarkEnd w:id="0"/>
    <w:p w:rsidR="004A3277" w:rsidRDefault="004A3277"/>
    <w:sectPr w:rsidR="004A3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02132"/>
    <w:multiLevelType w:val="hybridMultilevel"/>
    <w:tmpl w:val="1BCE2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3612F0"/>
    <w:multiLevelType w:val="hybridMultilevel"/>
    <w:tmpl w:val="F02EA19A"/>
    <w:lvl w:ilvl="0" w:tplc="0C0C0001">
      <w:start w:val="1"/>
      <w:numFmt w:val="bullet"/>
      <w:lvlText w:val=""/>
      <w:lvlJc w:val="left"/>
      <w:pPr>
        <w:ind w:left="770" w:hanging="360"/>
      </w:pPr>
      <w:rPr>
        <w:rFonts w:ascii="Symbol" w:hAnsi="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2" w15:restartNumberingAfterBreak="0">
    <w:nsid w:val="18D72AD6"/>
    <w:multiLevelType w:val="hybridMultilevel"/>
    <w:tmpl w:val="C2E45B8C"/>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EDC0D3D"/>
    <w:multiLevelType w:val="hybridMultilevel"/>
    <w:tmpl w:val="0AB878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0B7446A"/>
    <w:multiLevelType w:val="hybridMultilevel"/>
    <w:tmpl w:val="C65C6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FE053E6"/>
    <w:multiLevelType w:val="hybridMultilevel"/>
    <w:tmpl w:val="EEE442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2140E0"/>
    <w:multiLevelType w:val="hybridMultilevel"/>
    <w:tmpl w:val="527E25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01767F5"/>
    <w:multiLevelType w:val="hybridMultilevel"/>
    <w:tmpl w:val="C70487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08E295B"/>
    <w:multiLevelType w:val="hybridMultilevel"/>
    <w:tmpl w:val="2550F7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4072DC3"/>
    <w:multiLevelType w:val="hybridMultilevel"/>
    <w:tmpl w:val="C11ABB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41D0A48"/>
    <w:multiLevelType w:val="hybridMultilevel"/>
    <w:tmpl w:val="FE5E1FC0"/>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4345EA9"/>
    <w:multiLevelType w:val="hybridMultilevel"/>
    <w:tmpl w:val="97042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555497D"/>
    <w:multiLevelType w:val="hybridMultilevel"/>
    <w:tmpl w:val="FF82C3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D7D106C"/>
    <w:multiLevelType w:val="hybridMultilevel"/>
    <w:tmpl w:val="4D2C25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2475123"/>
    <w:multiLevelType w:val="hybridMultilevel"/>
    <w:tmpl w:val="D1BA5430"/>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2574499"/>
    <w:multiLevelType w:val="hybridMultilevel"/>
    <w:tmpl w:val="0A8A9156"/>
    <w:lvl w:ilvl="0" w:tplc="0C0C0009">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6" w15:restartNumberingAfterBreak="0">
    <w:nsid w:val="77A70B75"/>
    <w:multiLevelType w:val="hybridMultilevel"/>
    <w:tmpl w:val="971A5544"/>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8"/>
  </w:num>
  <w:num w:numId="4">
    <w:abstractNumId w:val="1"/>
  </w:num>
  <w:num w:numId="5">
    <w:abstractNumId w:val="12"/>
  </w:num>
  <w:num w:numId="6">
    <w:abstractNumId w:val="6"/>
  </w:num>
  <w:num w:numId="7">
    <w:abstractNumId w:val="3"/>
  </w:num>
  <w:num w:numId="8">
    <w:abstractNumId w:val="9"/>
  </w:num>
  <w:num w:numId="9">
    <w:abstractNumId w:val="7"/>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176"/>
    <w:rsid w:val="000C0D4B"/>
    <w:rsid w:val="00123176"/>
    <w:rsid w:val="00174271"/>
    <w:rsid w:val="001957F3"/>
    <w:rsid w:val="0020344F"/>
    <w:rsid w:val="002D14DF"/>
    <w:rsid w:val="003573C3"/>
    <w:rsid w:val="003C0B33"/>
    <w:rsid w:val="003F1697"/>
    <w:rsid w:val="00452F22"/>
    <w:rsid w:val="0049209A"/>
    <w:rsid w:val="004A3277"/>
    <w:rsid w:val="00622A6C"/>
    <w:rsid w:val="00683CA3"/>
    <w:rsid w:val="006C1573"/>
    <w:rsid w:val="006D7D16"/>
    <w:rsid w:val="006E5F2E"/>
    <w:rsid w:val="00772C92"/>
    <w:rsid w:val="007B4458"/>
    <w:rsid w:val="008358BF"/>
    <w:rsid w:val="00842338"/>
    <w:rsid w:val="00891032"/>
    <w:rsid w:val="008A6DE6"/>
    <w:rsid w:val="00910746"/>
    <w:rsid w:val="00B82425"/>
    <w:rsid w:val="00B933AD"/>
    <w:rsid w:val="00BC21E7"/>
    <w:rsid w:val="00BC2DCB"/>
    <w:rsid w:val="00C1399E"/>
    <w:rsid w:val="00D7115A"/>
    <w:rsid w:val="00D751DD"/>
    <w:rsid w:val="00D857D0"/>
    <w:rsid w:val="00E05ECB"/>
    <w:rsid w:val="00E136A5"/>
    <w:rsid w:val="00E37B55"/>
    <w:rsid w:val="00EA648A"/>
    <w:rsid w:val="00F04E6D"/>
    <w:rsid w:val="00F32ADB"/>
    <w:rsid w:val="00FF0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CA9C"/>
  <w15:chartTrackingRefBased/>
  <w15:docId w15:val="{764238CE-C7AA-4EDE-ABF6-A8FFE014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B55"/>
    <w:pPr>
      <w:ind w:left="720"/>
      <w:contextualSpacing/>
    </w:pPr>
  </w:style>
  <w:style w:type="paragraph" w:styleId="NoSpacing">
    <w:name w:val="No Spacing"/>
    <w:uiPriority w:val="1"/>
    <w:qFormat/>
    <w:rsid w:val="006E5F2E"/>
    <w:pPr>
      <w:spacing w:after="0" w:line="240" w:lineRule="auto"/>
    </w:pPr>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9836">
      <w:bodyDiv w:val="1"/>
      <w:marLeft w:val="0"/>
      <w:marRight w:val="0"/>
      <w:marTop w:val="0"/>
      <w:marBottom w:val="0"/>
      <w:divBdr>
        <w:top w:val="none" w:sz="0" w:space="0" w:color="auto"/>
        <w:left w:val="none" w:sz="0" w:space="0" w:color="auto"/>
        <w:bottom w:val="none" w:sz="0" w:space="0" w:color="auto"/>
        <w:right w:val="none" w:sz="0" w:space="0" w:color="auto"/>
      </w:divBdr>
    </w:div>
    <w:div w:id="228926783">
      <w:bodyDiv w:val="1"/>
      <w:marLeft w:val="0"/>
      <w:marRight w:val="0"/>
      <w:marTop w:val="0"/>
      <w:marBottom w:val="0"/>
      <w:divBdr>
        <w:top w:val="none" w:sz="0" w:space="0" w:color="auto"/>
        <w:left w:val="none" w:sz="0" w:space="0" w:color="auto"/>
        <w:bottom w:val="none" w:sz="0" w:space="0" w:color="auto"/>
        <w:right w:val="none" w:sz="0" w:space="0" w:color="auto"/>
      </w:divBdr>
    </w:div>
    <w:div w:id="366806684">
      <w:bodyDiv w:val="1"/>
      <w:marLeft w:val="0"/>
      <w:marRight w:val="0"/>
      <w:marTop w:val="0"/>
      <w:marBottom w:val="0"/>
      <w:divBdr>
        <w:top w:val="none" w:sz="0" w:space="0" w:color="auto"/>
        <w:left w:val="none" w:sz="0" w:space="0" w:color="auto"/>
        <w:bottom w:val="none" w:sz="0" w:space="0" w:color="auto"/>
        <w:right w:val="none" w:sz="0" w:space="0" w:color="auto"/>
      </w:divBdr>
    </w:div>
    <w:div w:id="855928649">
      <w:bodyDiv w:val="1"/>
      <w:marLeft w:val="0"/>
      <w:marRight w:val="0"/>
      <w:marTop w:val="0"/>
      <w:marBottom w:val="0"/>
      <w:divBdr>
        <w:top w:val="none" w:sz="0" w:space="0" w:color="auto"/>
        <w:left w:val="none" w:sz="0" w:space="0" w:color="auto"/>
        <w:bottom w:val="none" w:sz="0" w:space="0" w:color="auto"/>
        <w:right w:val="none" w:sz="0" w:space="0" w:color="auto"/>
      </w:divBdr>
    </w:div>
    <w:div w:id="1094206335">
      <w:bodyDiv w:val="1"/>
      <w:marLeft w:val="0"/>
      <w:marRight w:val="0"/>
      <w:marTop w:val="0"/>
      <w:marBottom w:val="0"/>
      <w:divBdr>
        <w:top w:val="none" w:sz="0" w:space="0" w:color="auto"/>
        <w:left w:val="none" w:sz="0" w:space="0" w:color="auto"/>
        <w:bottom w:val="none" w:sz="0" w:space="0" w:color="auto"/>
        <w:right w:val="none" w:sz="0" w:space="0" w:color="auto"/>
      </w:divBdr>
    </w:div>
    <w:div w:id="1320502541">
      <w:bodyDiv w:val="1"/>
      <w:marLeft w:val="0"/>
      <w:marRight w:val="0"/>
      <w:marTop w:val="0"/>
      <w:marBottom w:val="0"/>
      <w:divBdr>
        <w:top w:val="none" w:sz="0" w:space="0" w:color="auto"/>
        <w:left w:val="none" w:sz="0" w:space="0" w:color="auto"/>
        <w:bottom w:val="none" w:sz="0" w:space="0" w:color="auto"/>
        <w:right w:val="none" w:sz="0" w:space="0" w:color="auto"/>
      </w:divBdr>
    </w:div>
    <w:div w:id="170906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Wilnes Noel</dc:creator>
  <cp:keywords/>
  <dc:description/>
  <cp:lastModifiedBy>Tamara Rimpel</cp:lastModifiedBy>
  <cp:revision>2</cp:revision>
  <dcterms:created xsi:type="dcterms:W3CDTF">2018-06-21T15:27:00Z</dcterms:created>
  <dcterms:modified xsi:type="dcterms:W3CDTF">2018-06-21T15:27:00Z</dcterms:modified>
</cp:coreProperties>
</file>