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52F" w:rsidRPr="00732DFA" w:rsidRDefault="0001152F" w:rsidP="0001152F">
      <w:pPr>
        <w:pStyle w:val="paragraph"/>
        <w:spacing w:before="0" w:beforeAutospacing="0" w:after="0" w:afterAutospacing="0"/>
        <w:jc w:val="center"/>
        <w:textAlignment w:val="baseline"/>
        <w:rPr>
          <w:rFonts w:ascii="Verdana" w:hAnsi="Verdana"/>
          <w:b/>
          <w:lang w:val="fr-FR"/>
        </w:rPr>
      </w:pPr>
      <w:bookmarkStart w:id="0" w:name="_GoBack"/>
      <w:bookmarkEnd w:id="0"/>
      <w:r w:rsidRPr="00732DFA">
        <w:rPr>
          <w:rFonts w:ascii="Verdana" w:hAnsi="Verdana"/>
          <w:b/>
          <w:lang w:val="fr-FR"/>
        </w:rPr>
        <w:t>PROJET REBOISEMENT DE L’USAID</w:t>
      </w:r>
    </w:p>
    <w:p w:rsidR="0001152F" w:rsidRPr="00732DFA" w:rsidRDefault="0001152F" w:rsidP="0001152F">
      <w:pPr>
        <w:pStyle w:val="paragraph"/>
        <w:spacing w:before="0" w:beforeAutospacing="0" w:after="0" w:afterAutospacing="0"/>
        <w:jc w:val="center"/>
        <w:textAlignment w:val="baseline"/>
        <w:rPr>
          <w:rFonts w:ascii="Verdana" w:hAnsi="Verdana"/>
          <w:lang w:val="fr-CA"/>
        </w:rPr>
      </w:pPr>
    </w:p>
    <w:p w:rsidR="0001152F" w:rsidRPr="00732DFA" w:rsidRDefault="0001152F" w:rsidP="0001152F">
      <w:pPr>
        <w:pStyle w:val="paragraph"/>
        <w:spacing w:before="0" w:beforeAutospacing="0" w:after="0" w:afterAutospacing="0"/>
        <w:jc w:val="center"/>
        <w:textAlignment w:val="baseline"/>
        <w:rPr>
          <w:rFonts w:ascii="Verdana" w:hAnsi="Verdana"/>
          <w:lang w:val="fr-CA"/>
        </w:rPr>
      </w:pPr>
      <w:r w:rsidRPr="00732DFA">
        <w:rPr>
          <w:rStyle w:val="normaltextrun"/>
          <w:rFonts w:ascii="Verdana" w:eastAsia="Calibri" w:hAnsi="Verdana"/>
          <w:b/>
          <w:bCs/>
          <w:lang w:val="fr-CA"/>
        </w:rPr>
        <w:t xml:space="preserve">CHEMONICS INTERNATIONAL RECHERCHE </w:t>
      </w:r>
      <w:r w:rsidR="000E5C35">
        <w:rPr>
          <w:rStyle w:val="normaltextrun"/>
          <w:rFonts w:ascii="Verdana" w:eastAsia="Calibri" w:hAnsi="Verdana"/>
          <w:b/>
          <w:bCs/>
          <w:lang w:val="fr-CA"/>
        </w:rPr>
        <w:t>UN CONSULTANT</w:t>
      </w:r>
      <w:r w:rsidRPr="00732DFA">
        <w:rPr>
          <w:rStyle w:val="normaltextrun"/>
          <w:rFonts w:ascii="Verdana" w:eastAsia="Calibri" w:hAnsi="Verdana"/>
          <w:b/>
          <w:bCs/>
          <w:lang w:val="fr-CA"/>
        </w:rPr>
        <w:t xml:space="preserve"> POUR UNE ETUDE DE BASE SUR LES COMBUSTIBLES DE CUISSON.</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FR"/>
        </w:rPr>
        <w:t> </w:t>
      </w:r>
    </w:p>
    <w:p w:rsidR="0001152F" w:rsidRPr="00732DFA" w:rsidRDefault="0001152F" w:rsidP="0001152F">
      <w:pPr>
        <w:pStyle w:val="paragraph"/>
        <w:spacing w:before="0" w:beforeAutospacing="0" w:after="0" w:afterAutospacing="0"/>
        <w:textAlignment w:val="baseline"/>
        <w:rPr>
          <w:rFonts w:ascii="Verdana" w:hAnsi="Verdana"/>
          <w:lang w:val="fr-FR"/>
        </w:rPr>
      </w:pPr>
      <w:proofErr w:type="spellStart"/>
      <w:r w:rsidRPr="00732DFA">
        <w:rPr>
          <w:rFonts w:ascii="Verdana" w:hAnsi="Verdana"/>
          <w:lang w:val="fr-HT"/>
        </w:rPr>
        <w:t>Chemonics</w:t>
      </w:r>
      <w:proofErr w:type="spellEnd"/>
      <w:r w:rsidRPr="00732DFA">
        <w:rPr>
          <w:rFonts w:ascii="Verdana" w:hAnsi="Verdana"/>
          <w:lang w:val="fr-HT"/>
        </w:rPr>
        <w:t xml:space="preserve"> International, une société internationale de développement basée à Washington, DC, est à la recherche d’un consultant pour supporter une étude de base sur les combustibles de cuisson. </w:t>
      </w:r>
      <w:r w:rsidRPr="00732DFA">
        <w:rPr>
          <w:rFonts w:ascii="Verdana" w:hAnsi="Verdana"/>
          <w:lang w:val="fr-FR"/>
        </w:rPr>
        <w:t>Le projet vise à lutter contre la dégradation de l'environnement et la perte de la couverture forestière dans la région nord d’Haïti. Il appuiera des interventions visant à</w:t>
      </w:r>
      <w:r w:rsidR="000E5C35">
        <w:rPr>
          <w:rFonts w:ascii="Verdana" w:hAnsi="Verdana"/>
          <w:lang w:val="fr-FR"/>
        </w:rPr>
        <w:t xml:space="preserve"> </w:t>
      </w:r>
      <w:r w:rsidRPr="00732DFA">
        <w:rPr>
          <w:rFonts w:ascii="Verdana" w:hAnsi="Verdana"/>
          <w:lang w:val="fr-FR"/>
        </w:rPr>
        <w:t>:</w:t>
      </w:r>
    </w:p>
    <w:p w:rsidR="0001152F" w:rsidRPr="00732DFA" w:rsidRDefault="0001152F" w:rsidP="0001152F">
      <w:pPr>
        <w:pStyle w:val="paragraph"/>
        <w:spacing w:before="0" w:beforeAutospacing="0" w:after="0" w:afterAutospacing="0"/>
        <w:textAlignment w:val="baseline"/>
        <w:rPr>
          <w:rFonts w:ascii="Verdana" w:hAnsi="Verdana"/>
          <w:lang w:val="fr-FR"/>
        </w:rPr>
      </w:pP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Réduire la menace de la déforestation;</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Améliorer la résilience aux chocs économiques et naturels;</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Augmenter la couverture des arbres dans les zones ciblées;</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 Améliorer la gouvernance et la coordination environnementale.</w:t>
      </w:r>
    </w:p>
    <w:p w:rsidR="0001152F" w:rsidRPr="00732DFA" w:rsidRDefault="0001152F" w:rsidP="0001152F">
      <w:pPr>
        <w:pStyle w:val="paragraph"/>
        <w:spacing w:before="0" w:beforeAutospacing="0" w:after="0" w:afterAutospacing="0"/>
        <w:textAlignment w:val="baseline"/>
        <w:rPr>
          <w:rFonts w:ascii="Verdana" w:hAnsi="Verdana"/>
          <w:lang w:val="fr-CA"/>
        </w:rPr>
      </w:pP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Nous sommes à la recherche de candidats ayant une passion pour faire la différence dans la vie des autres.</w:t>
      </w:r>
    </w:p>
    <w:p w:rsidR="0001152F" w:rsidRPr="00732DFA" w:rsidRDefault="0001152F" w:rsidP="0001152F">
      <w:pPr>
        <w:pStyle w:val="paragraph"/>
        <w:spacing w:before="0" w:beforeAutospacing="0" w:after="0" w:afterAutospacing="0"/>
        <w:textAlignment w:val="baseline"/>
        <w:rPr>
          <w:rFonts w:ascii="Verdana" w:hAnsi="Verdana"/>
          <w:lang w:val="fr-CA"/>
        </w:rPr>
      </w:pPr>
      <w:r w:rsidRPr="00732DFA">
        <w:rPr>
          <w:rFonts w:ascii="Verdana" w:hAnsi="Verdana"/>
          <w:lang w:val="fr-CA"/>
        </w:rPr>
        <w:t>___________________________________________________________</w:t>
      </w:r>
      <w:r w:rsidR="00732DFA">
        <w:rPr>
          <w:rFonts w:ascii="Verdana" w:hAnsi="Verdana"/>
          <w:lang w:val="fr-CA"/>
        </w:rPr>
        <w:t>__</w:t>
      </w:r>
    </w:p>
    <w:p w:rsidR="0001152F" w:rsidRPr="00732DFA" w:rsidRDefault="0001152F" w:rsidP="0001152F">
      <w:pPr>
        <w:pStyle w:val="paragraph"/>
        <w:spacing w:before="0" w:beforeAutospacing="0" w:after="0" w:afterAutospacing="0"/>
        <w:textAlignment w:val="baseline"/>
        <w:rPr>
          <w:rFonts w:ascii="Verdana" w:hAnsi="Verdana"/>
          <w:b/>
          <w:lang w:val="fr-CA"/>
        </w:rPr>
      </w:pPr>
      <w:r w:rsidRPr="00732DFA">
        <w:rPr>
          <w:rStyle w:val="eop"/>
          <w:rFonts w:ascii="Verdana" w:hAnsi="Verdana"/>
          <w:b/>
          <w:lang w:val="fr-CA"/>
        </w:rPr>
        <w:t> </w:t>
      </w:r>
    </w:p>
    <w:p w:rsidR="0001152F" w:rsidRPr="00732DFA" w:rsidRDefault="0001152F" w:rsidP="0001152F">
      <w:pPr>
        <w:rPr>
          <w:rFonts w:ascii="Verdana" w:hAnsi="Verdana"/>
          <w:b/>
        </w:rPr>
      </w:pPr>
      <w:r w:rsidRPr="00732DFA">
        <w:rPr>
          <w:rFonts w:ascii="Verdana" w:hAnsi="Verdana"/>
          <w:b/>
        </w:rPr>
        <w:t>Rôles et responsabilités (court terme : 3 mois)</w:t>
      </w:r>
    </w:p>
    <w:p w:rsidR="0001152F" w:rsidRPr="00732DFA" w:rsidRDefault="0001152F" w:rsidP="0001152F">
      <w:pPr>
        <w:rPr>
          <w:rFonts w:ascii="Verdana" w:hAnsi="Verdana"/>
        </w:rPr>
      </w:pPr>
      <w:r w:rsidRPr="00732DFA">
        <w:rPr>
          <w:rFonts w:ascii="Verdana" w:hAnsi="Verdana"/>
        </w:rPr>
        <w:t>Le projet de reboisement de l’USAID recrutera le consultant. Un accord de services de conseil sera signé par les deux parties. Il décrira de façon détaillée les tâches, rôles et responsabilités spécifiques de toutes les parties. Le paiement des services de conseil sera effectué directement par le projet à la/au consultant(e).</w:t>
      </w:r>
    </w:p>
    <w:p w:rsidR="0001152F" w:rsidRPr="00732DFA" w:rsidRDefault="0001152F" w:rsidP="0001152F">
      <w:pPr>
        <w:rPr>
          <w:rFonts w:ascii="Verdana" w:hAnsi="Verdana"/>
        </w:rPr>
      </w:pPr>
    </w:p>
    <w:p w:rsidR="0001152F" w:rsidRPr="00732DFA" w:rsidRDefault="0001152F" w:rsidP="0001152F">
      <w:pPr>
        <w:rPr>
          <w:rFonts w:ascii="Verdana" w:hAnsi="Verdana"/>
        </w:rPr>
      </w:pPr>
      <w:r w:rsidRPr="00732DFA">
        <w:rPr>
          <w:rFonts w:ascii="Verdana" w:hAnsi="Verdana"/>
        </w:rPr>
        <w:t>Rôles et responsabilités du/de la consultant(e) :</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Préparation adéquate du travail de terrain à l’aide d’une prise de connaissance d’informations générales et d’une recherche documentaire.</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Collaboration avec l’équipe technique et de mise en œuvre pour finaliser la méthodologie de l’évaluation.</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Réalisation du travail de terrain, conformément à la méthodologie convenue.</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Téléchargement et stockage des versions électroniques de toutes les données collectées pendant cet exercice.</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Analyse des constats de l’évaluation et production d’un rapport, conformément à ce mandat et à l’échéance convenue.</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Partage du rapport préliminaire avec le projet à des fins d’examen et de retour avant la finalisation.</w:t>
      </w:r>
    </w:p>
    <w:p w:rsidR="0001152F" w:rsidRPr="00732DFA" w:rsidRDefault="0001152F" w:rsidP="0001152F">
      <w:pPr>
        <w:pStyle w:val="ListParagraph"/>
        <w:numPr>
          <w:ilvl w:val="0"/>
          <w:numId w:val="1"/>
        </w:numPr>
        <w:spacing w:after="0" w:line="240" w:lineRule="auto"/>
        <w:contextualSpacing w:val="0"/>
        <w:rPr>
          <w:rFonts w:ascii="Verdana" w:hAnsi="Verdana"/>
          <w:sz w:val="24"/>
          <w:szCs w:val="24"/>
        </w:rPr>
      </w:pPr>
      <w:r w:rsidRPr="00732DFA">
        <w:rPr>
          <w:rFonts w:ascii="Verdana" w:hAnsi="Verdana"/>
          <w:sz w:val="24"/>
          <w:szCs w:val="24"/>
        </w:rPr>
        <w:t>Envoi de la facture dans les délais requis</w:t>
      </w:r>
    </w:p>
    <w:p w:rsidR="0001152F" w:rsidRPr="00732DFA" w:rsidRDefault="0001152F" w:rsidP="0001152F">
      <w:pPr>
        <w:rPr>
          <w:rFonts w:ascii="Verdana" w:hAnsi="Verdana"/>
        </w:rPr>
      </w:pPr>
      <w:bookmarkStart w:id="1" w:name="_Hlk508971432"/>
    </w:p>
    <w:p w:rsidR="00732DFA" w:rsidRDefault="00732DFA" w:rsidP="0001152F">
      <w:pPr>
        <w:rPr>
          <w:rFonts w:ascii="Verdana" w:hAnsi="Verdana"/>
        </w:rPr>
      </w:pPr>
    </w:p>
    <w:p w:rsidR="0001152F" w:rsidRPr="00732DFA" w:rsidRDefault="0001152F" w:rsidP="0001152F">
      <w:pPr>
        <w:rPr>
          <w:rFonts w:ascii="Verdana" w:hAnsi="Verdana"/>
        </w:rPr>
      </w:pPr>
      <w:r w:rsidRPr="00732DFA">
        <w:rPr>
          <w:rFonts w:ascii="Verdana" w:hAnsi="Verdana"/>
        </w:rPr>
        <w:lastRenderedPageBreak/>
        <w:t>Rôles et responsabilités du projet de reboisement de l’USAID :</w:t>
      </w:r>
    </w:p>
    <w:p w:rsidR="0001152F" w:rsidRPr="00732DFA" w:rsidRDefault="0001152F" w:rsidP="0001152F">
      <w:pPr>
        <w:pStyle w:val="ListParagraph"/>
        <w:numPr>
          <w:ilvl w:val="0"/>
          <w:numId w:val="2"/>
        </w:numPr>
        <w:spacing w:after="0" w:line="240" w:lineRule="auto"/>
        <w:contextualSpacing w:val="0"/>
        <w:rPr>
          <w:rFonts w:ascii="Verdana" w:hAnsi="Verdana"/>
          <w:sz w:val="24"/>
          <w:szCs w:val="24"/>
        </w:rPr>
      </w:pPr>
      <w:r w:rsidRPr="00732DFA">
        <w:rPr>
          <w:rFonts w:ascii="Verdana" w:hAnsi="Verdana"/>
          <w:sz w:val="24"/>
          <w:szCs w:val="24"/>
        </w:rPr>
        <w:t xml:space="preserve">Recruter un(e) consultant(e). </w:t>
      </w:r>
    </w:p>
    <w:p w:rsidR="0001152F" w:rsidRPr="00732DFA" w:rsidRDefault="0001152F" w:rsidP="0001152F">
      <w:pPr>
        <w:pStyle w:val="ListParagraph"/>
        <w:numPr>
          <w:ilvl w:val="0"/>
          <w:numId w:val="2"/>
        </w:numPr>
        <w:spacing w:after="0" w:line="240" w:lineRule="auto"/>
        <w:contextualSpacing w:val="0"/>
        <w:rPr>
          <w:rFonts w:ascii="Verdana" w:hAnsi="Verdana"/>
          <w:sz w:val="24"/>
          <w:szCs w:val="24"/>
        </w:rPr>
      </w:pPr>
      <w:r w:rsidRPr="00732DFA">
        <w:rPr>
          <w:rFonts w:ascii="Verdana" w:hAnsi="Verdana"/>
          <w:sz w:val="24"/>
          <w:szCs w:val="24"/>
        </w:rPr>
        <w:t xml:space="preserve">Signer un accord de services de conseil avec la/le consultant(e)  </w:t>
      </w:r>
    </w:p>
    <w:p w:rsidR="0001152F" w:rsidRPr="00732DFA" w:rsidRDefault="0001152F" w:rsidP="0001152F">
      <w:pPr>
        <w:pStyle w:val="ListParagraph"/>
        <w:numPr>
          <w:ilvl w:val="0"/>
          <w:numId w:val="2"/>
        </w:numPr>
        <w:spacing w:after="0" w:line="240" w:lineRule="auto"/>
        <w:contextualSpacing w:val="0"/>
        <w:rPr>
          <w:rFonts w:ascii="Verdana" w:hAnsi="Verdana"/>
          <w:sz w:val="24"/>
          <w:szCs w:val="24"/>
        </w:rPr>
      </w:pPr>
      <w:r w:rsidRPr="00732DFA">
        <w:rPr>
          <w:rFonts w:ascii="Verdana" w:hAnsi="Verdana"/>
          <w:sz w:val="24"/>
          <w:szCs w:val="24"/>
        </w:rPr>
        <w:t>Faire un examen des outils et de la méthodologie conçus et fournir un retour avant sa finalisation.</w:t>
      </w:r>
    </w:p>
    <w:p w:rsidR="0001152F" w:rsidRPr="00732DFA" w:rsidRDefault="0001152F" w:rsidP="0001152F">
      <w:pPr>
        <w:pStyle w:val="ListParagraph"/>
        <w:numPr>
          <w:ilvl w:val="0"/>
          <w:numId w:val="2"/>
        </w:numPr>
        <w:spacing w:after="0" w:line="240" w:lineRule="auto"/>
        <w:contextualSpacing w:val="0"/>
        <w:rPr>
          <w:rFonts w:ascii="Verdana" w:hAnsi="Verdana"/>
          <w:sz w:val="24"/>
          <w:szCs w:val="24"/>
        </w:rPr>
      </w:pPr>
      <w:r w:rsidRPr="00732DFA">
        <w:rPr>
          <w:rFonts w:ascii="Verdana" w:hAnsi="Verdana"/>
          <w:sz w:val="24"/>
          <w:szCs w:val="24"/>
        </w:rPr>
        <w:t>Fournir la/au consultant(e) la documentation pertinente au projet.</w:t>
      </w:r>
    </w:p>
    <w:p w:rsidR="0001152F" w:rsidRPr="00732DFA" w:rsidRDefault="0001152F" w:rsidP="0001152F">
      <w:pPr>
        <w:pStyle w:val="ListParagraph"/>
        <w:numPr>
          <w:ilvl w:val="0"/>
          <w:numId w:val="2"/>
        </w:numPr>
        <w:spacing w:after="0" w:line="240" w:lineRule="auto"/>
        <w:contextualSpacing w:val="0"/>
        <w:rPr>
          <w:rFonts w:ascii="Verdana" w:hAnsi="Verdana"/>
          <w:sz w:val="24"/>
          <w:szCs w:val="24"/>
        </w:rPr>
      </w:pPr>
      <w:r w:rsidRPr="00732DFA">
        <w:rPr>
          <w:rFonts w:ascii="Verdana" w:hAnsi="Verdana"/>
          <w:sz w:val="24"/>
          <w:szCs w:val="24"/>
        </w:rPr>
        <w:t>Accompagner la/le consultant(e) pendant le travail de terrain sur chaque site, soutien logistique et mise en contact avec les parties prenantes.</w:t>
      </w:r>
    </w:p>
    <w:p w:rsidR="0001152F" w:rsidRDefault="0001152F" w:rsidP="0001152F">
      <w:pPr>
        <w:pStyle w:val="ListParagraph"/>
        <w:numPr>
          <w:ilvl w:val="0"/>
          <w:numId w:val="2"/>
        </w:numPr>
        <w:spacing w:after="0" w:line="240" w:lineRule="auto"/>
        <w:contextualSpacing w:val="0"/>
        <w:rPr>
          <w:rFonts w:ascii="Verdana" w:hAnsi="Verdana"/>
          <w:sz w:val="24"/>
          <w:szCs w:val="24"/>
        </w:rPr>
      </w:pPr>
      <w:r w:rsidRPr="00732DFA">
        <w:rPr>
          <w:rFonts w:ascii="Verdana" w:hAnsi="Verdana"/>
          <w:sz w:val="24"/>
          <w:szCs w:val="24"/>
        </w:rPr>
        <w:t>Fournir un retour d’information sur le rapport préliminaire produit et approuver le rapport final conformément aux normes de qualité.</w:t>
      </w:r>
    </w:p>
    <w:p w:rsidR="00526F57" w:rsidRPr="00732DFA" w:rsidRDefault="00BB55A5" w:rsidP="0001152F">
      <w:pPr>
        <w:pStyle w:val="ListParagraph"/>
        <w:numPr>
          <w:ilvl w:val="0"/>
          <w:numId w:val="2"/>
        </w:numPr>
        <w:spacing w:after="0" w:line="240" w:lineRule="auto"/>
        <w:contextualSpacing w:val="0"/>
        <w:rPr>
          <w:rFonts w:ascii="Verdana" w:hAnsi="Verdana"/>
          <w:sz w:val="24"/>
          <w:szCs w:val="24"/>
        </w:rPr>
      </w:pPr>
      <w:r>
        <w:rPr>
          <w:rFonts w:ascii="Verdana" w:hAnsi="Verdana"/>
          <w:sz w:val="24"/>
          <w:szCs w:val="24"/>
        </w:rPr>
        <w:t>Présenter</w:t>
      </w:r>
      <w:r w:rsidR="00526F57">
        <w:rPr>
          <w:rFonts w:ascii="Verdana" w:hAnsi="Verdana"/>
          <w:sz w:val="24"/>
          <w:szCs w:val="24"/>
        </w:rPr>
        <w:t xml:space="preserve"> le rapport final aux principaux parties prenantes </w:t>
      </w:r>
    </w:p>
    <w:bookmarkEnd w:id="1"/>
    <w:p w:rsidR="0001152F" w:rsidRPr="00732DFA" w:rsidRDefault="0001152F" w:rsidP="0001152F">
      <w:pPr>
        <w:rPr>
          <w:rFonts w:ascii="Verdana" w:hAnsi="Verdana"/>
        </w:rPr>
      </w:pPr>
    </w:p>
    <w:p w:rsidR="0001152F" w:rsidRPr="00732DFA" w:rsidRDefault="0001152F" w:rsidP="0001152F">
      <w:pPr>
        <w:rPr>
          <w:rFonts w:ascii="Verdana" w:hAnsi="Verdana"/>
          <w:b/>
        </w:rPr>
      </w:pPr>
      <w:r w:rsidRPr="00732DFA">
        <w:rPr>
          <w:rFonts w:ascii="Verdana" w:hAnsi="Verdana"/>
          <w:b/>
        </w:rPr>
        <w:t>Livrables</w:t>
      </w:r>
    </w:p>
    <w:p w:rsidR="0001152F" w:rsidRPr="00732DFA" w:rsidRDefault="0001152F" w:rsidP="0001152F">
      <w:pPr>
        <w:rPr>
          <w:rFonts w:ascii="Verdana" w:hAnsi="Verdana"/>
        </w:rPr>
      </w:pPr>
    </w:p>
    <w:p w:rsidR="0001152F" w:rsidRPr="00732DFA" w:rsidRDefault="0001152F" w:rsidP="0001152F">
      <w:pPr>
        <w:rPr>
          <w:rFonts w:ascii="Verdana" w:hAnsi="Verdana"/>
        </w:rPr>
      </w:pPr>
      <w:r w:rsidRPr="00732DFA">
        <w:rPr>
          <w:rFonts w:ascii="Verdana" w:hAnsi="Verdana"/>
        </w:rPr>
        <w:t>1.</w:t>
      </w:r>
      <w:r w:rsidRPr="00732DFA">
        <w:rPr>
          <w:rFonts w:ascii="Verdana" w:hAnsi="Verdana"/>
        </w:rPr>
        <w:tab/>
        <w:t xml:space="preserve">Rapport d’évaluation préliminaire en français à des fins d’examen. Pas plus de 30 pages dans une langue simple, à l’exception des annexes contenant des analyses de données qualitatives et quantitatives. Le rapport doit comprendre ce qui suit :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Page de titre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Sommaire / Graphiques et tableaux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Abréviations / acronymes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Résumé exécutif (2 ou 3 pages maximum)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Contexte et brève introduction du projet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Méthodologie (y compris des questions de recherche et des outils)</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Constats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 xml:space="preserve">Enseignements et nouveautés </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Des études de cas/histoires seront utilisées pour mettre en lumière/illustrer les constats</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Recommandations</w:t>
      </w:r>
    </w:p>
    <w:p w:rsidR="0001152F" w:rsidRPr="00732DFA" w:rsidRDefault="0001152F" w:rsidP="0001152F">
      <w:pPr>
        <w:pStyle w:val="ListParagraph"/>
        <w:numPr>
          <w:ilvl w:val="1"/>
          <w:numId w:val="6"/>
        </w:numPr>
        <w:rPr>
          <w:rFonts w:ascii="Verdana" w:hAnsi="Verdana"/>
          <w:sz w:val="24"/>
          <w:szCs w:val="24"/>
        </w:rPr>
      </w:pPr>
      <w:r w:rsidRPr="00732DFA">
        <w:rPr>
          <w:rFonts w:ascii="Verdana" w:hAnsi="Verdana"/>
          <w:sz w:val="24"/>
          <w:szCs w:val="24"/>
        </w:rPr>
        <w:t>Conclusion</w:t>
      </w:r>
    </w:p>
    <w:p w:rsidR="0001152F" w:rsidRPr="00732DFA" w:rsidRDefault="0001152F" w:rsidP="0001152F">
      <w:pPr>
        <w:rPr>
          <w:rFonts w:ascii="Verdana" w:hAnsi="Verdana"/>
        </w:rPr>
      </w:pPr>
      <w:r w:rsidRPr="00732DFA">
        <w:rPr>
          <w:rFonts w:ascii="Verdana" w:hAnsi="Verdana"/>
        </w:rPr>
        <w:t>2.</w:t>
      </w:r>
      <w:r w:rsidRPr="00732DFA">
        <w:rPr>
          <w:rFonts w:ascii="Verdana" w:hAnsi="Verdana"/>
        </w:rPr>
        <w:tab/>
        <w:t xml:space="preserve">Un rapport final en français, incorporant tous les commentaires et toutes les suggestions des personnes chargées de son examen. </w:t>
      </w:r>
    </w:p>
    <w:p w:rsidR="0001152F" w:rsidRPr="00732DFA" w:rsidRDefault="0001152F" w:rsidP="0001152F">
      <w:pPr>
        <w:rPr>
          <w:rFonts w:ascii="Verdana" w:hAnsi="Verdana"/>
        </w:rPr>
      </w:pPr>
    </w:p>
    <w:p w:rsidR="0001152F" w:rsidRPr="00732DFA" w:rsidRDefault="0001152F" w:rsidP="0001152F">
      <w:pPr>
        <w:rPr>
          <w:rFonts w:ascii="Verdana" w:hAnsi="Verdana"/>
        </w:rPr>
      </w:pPr>
      <w:r w:rsidRPr="00732DFA">
        <w:rPr>
          <w:rFonts w:ascii="Verdana" w:hAnsi="Verdana"/>
        </w:rPr>
        <w:t xml:space="preserve">3.        Les annexes doivent comprendre les éléments suivants : programme de travail de l’équipe d’évaluation ; liste des informateurs clés interviewés ; exemples d’outils utilisés ; photos des participants de focus-groups, avec les formulaires de consentement ; et photos des sites (entreprises visitées). </w:t>
      </w:r>
    </w:p>
    <w:p w:rsidR="0001152F" w:rsidRPr="00732DFA" w:rsidRDefault="0001152F" w:rsidP="0001152F">
      <w:pPr>
        <w:rPr>
          <w:rFonts w:ascii="Verdana" w:hAnsi="Verdana"/>
        </w:rPr>
      </w:pPr>
      <w:r w:rsidRPr="00732DFA">
        <w:rPr>
          <w:rFonts w:ascii="Verdana" w:hAnsi="Verdana"/>
        </w:rPr>
        <w:t xml:space="preserve">Ce rapport ne sera considéré comme final que lorsqu’il aura été approuvé par Le Directeur du projet de reboisement de l’USAID. </w:t>
      </w:r>
    </w:p>
    <w:p w:rsidR="0001152F" w:rsidRPr="00732DFA" w:rsidRDefault="0001152F" w:rsidP="0001152F">
      <w:pPr>
        <w:rPr>
          <w:rFonts w:ascii="Verdana" w:hAnsi="Verdana"/>
        </w:rPr>
      </w:pPr>
      <w:r w:rsidRPr="00732DFA">
        <w:rPr>
          <w:rFonts w:ascii="Verdana" w:hAnsi="Verdana"/>
        </w:rPr>
        <w:lastRenderedPageBreak/>
        <w:t xml:space="preserve">Tous les livrables seront en français. </w:t>
      </w:r>
      <w:proofErr w:type="spellStart"/>
      <w:r w:rsidRPr="00732DFA">
        <w:rPr>
          <w:rFonts w:ascii="Verdana" w:hAnsi="Verdana"/>
        </w:rPr>
        <w:t>Chemonics</w:t>
      </w:r>
      <w:proofErr w:type="spellEnd"/>
      <w:r w:rsidRPr="00732DFA">
        <w:rPr>
          <w:rFonts w:ascii="Verdana" w:hAnsi="Verdana"/>
        </w:rPr>
        <w:t xml:space="preserve"> sera responsable de la traduction du rapport en anglais à une date ultérieure.</w:t>
      </w:r>
    </w:p>
    <w:p w:rsidR="0001152F" w:rsidRPr="00732DFA" w:rsidRDefault="0001152F" w:rsidP="0001152F">
      <w:pPr>
        <w:rPr>
          <w:rFonts w:ascii="Verdana" w:hAnsi="Verdana"/>
        </w:rPr>
      </w:pPr>
    </w:p>
    <w:p w:rsidR="0001152F" w:rsidRPr="00732DFA" w:rsidRDefault="0001152F" w:rsidP="0001152F">
      <w:pPr>
        <w:rPr>
          <w:rFonts w:ascii="Verdana" w:hAnsi="Verdana"/>
          <w:b/>
        </w:rPr>
      </w:pPr>
      <w:bookmarkStart w:id="2" w:name="_Hlk510782598"/>
      <w:r w:rsidRPr="00732DFA">
        <w:rPr>
          <w:rFonts w:ascii="Verdana" w:hAnsi="Verdana"/>
          <w:b/>
        </w:rPr>
        <w:t>Considérations éthiques</w:t>
      </w:r>
    </w:p>
    <w:p w:rsidR="0001152F" w:rsidRPr="00732DFA" w:rsidRDefault="0001152F" w:rsidP="0001152F">
      <w:pPr>
        <w:rPr>
          <w:rFonts w:ascii="Verdana" w:hAnsi="Verdana"/>
        </w:rPr>
      </w:pPr>
      <w:r w:rsidRPr="00732DFA">
        <w:rPr>
          <w:rFonts w:ascii="Verdana" w:hAnsi="Verdana"/>
        </w:rPr>
        <w:t xml:space="preserve">La/le consultant(e) respectera les « Procédures et politiques de la </w:t>
      </w:r>
      <w:proofErr w:type="spellStart"/>
      <w:r w:rsidRPr="00732DFA">
        <w:rPr>
          <w:rFonts w:ascii="Verdana" w:hAnsi="Verdana"/>
        </w:rPr>
        <w:t>Chemonics</w:t>
      </w:r>
      <w:proofErr w:type="spellEnd"/>
      <w:r w:rsidRPr="00732DFA">
        <w:rPr>
          <w:rFonts w:ascii="Verdana" w:hAnsi="Verdana"/>
        </w:rPr>
        <w:t xml:space="preserve"> », et particulièrement le code de conduite et les procédures liés à la confidentialité, au consentement et à la demande d’informations auprès des potentiels bénéficiaires du projet. La/le consultant(e) devra signer un document l’engageant à respecter cette politique avant le début de sa mission. </w:t>
      </w:r>
    </w:p>
    <w:p w:rsidR="0001152F" w:rsidRPr="00732DFA" w:rsidRDefault="0001152F" w:rsidP="0001152F">
      <w:pPr>
        <w:rPr>
          <w:rFonts w:ascii="Verdana" w:hAnsi="Verdana"/>
        </w:rPr>
      </w:pPr>
    </w:p>
    <w:p w:rsidR="0001152F" w:rsidRPr="00732DFA" w:rsidRDefault="0001152F" w:rsidP="0001152F">
      <w:pPr>
        <w:rPr>
          <w:rFonts w:ascii="Verdana" w:hAnsi="Verdana"/>
        </w:rPr>
      </w:pPr>
      <w:r w:rsidRPr="00732DFA">
        <w:rPr>
          <w:rFonts w:ascii="Verdana" w:hAnsi="Verdana"/>
        </w:rPr>
        <w:t>La/le consultant(e) doit veiller à ce que cette évaluation soit menée de manière éthique et sensible. Les bénéficiaires potentiels doivent être protégés et tout tort potentiel provoqué par les outils de recherche, la méthodologie ou les chercheurs doit être évité. La/le consultant(e) doit garantir que :</w:t>
      </w:r>
    </w:p>
    <w:p w:rsidR="0001152F" w:rsidRPr="00732DFA" w:rsidRDefault="0001152F" w:rsidP="0001152F">
      <w:pPr>
        <w:pStyle w:val="ListParagraph"/>
        <w:numPr>
          <w:ilvl w:val="0"/>
          <w:numId w:val="3"/>
        </w:numPr>
        <w:spacing w:after="0" w:line="240" w:lineRule="auto"/>
        <w:contextualSpacing w:val="0"/>
        <w:rPr>
          <w:rFonts w:ascii="Verdana" w:hAnsi="Verdana"/>
          <w:sz w:val="24"/>
          <w:szCs w:val="24"/>
        </w:rPr>
      </w:pPr>
      <w:r w:rsidRPr="00732DFA">
        <w:rPr>
          <w:rFonts w:ascii="Verdana" w:hAnsi="Verdana"/>
          <w:sz w:val="24"/>
          <w:szCs w:val="24"/>
        </w:rPr>
        <w:t>Les enquêteurs et outils de recherche respectent les personnes interrogées.</w:t>
      </w:r>
    </w:p>
    <w:p w:rsidR="0001152F" w:rsidRPr="00732DFA" w:rsidRDefault="0001152F" w:rsidP="0001152F">
      <w:pPr>
        <w:pStyle w:val="ListParagraph"/>
        <w:numPr>
          <w:ilvl w:val="0"/>
          <w:numId w:val="3"/>
        </w:numPr>
        <w:spacing w:after="0" w:line="240" w:lineRule="auto"/>
        <w:contextualSpacing w:val="0"/>
        <w:rPr>
          <w:rFonts w:ascii="Verdana" w:hAnsi="Verdana"/>
          <w:sz w:val="24"/>
          <w:szCs w:val="24"/>
        </w:rPr>
      </w:pPr>
      <w:r w:rsidRPr="00732DFA">
        <w:rPr>
          <w:rFonts w:ascii="Verdana" w:hAnsi="Verdana"/>
          <w:sz w:val="24"/>
          <w:szCs w:val="24"/>
        </w:rPr>
        <w:t xml:space="preserve">Toutes les personnes interrogées ont donné leur consentement. </w:t>
      </w:r>
    </w:p>
    <w:p w:rsidR="0001152F" w:rsidRPr="00732DFA" w:rsidRDefault="0001152F" w:rsidP="0001152F">
      <w:pPr>
        <w:pStyle w:val="ListParagraph"/>
        <w:numPr>
          <w:ilvl w:val="0"/>
          <w:numId w:val="3"/>
        </w:numPr>
        <w:spacing w:after="0" w:line="240" w:lineRule="auto"/>
        <w:contextualSpacing w:val="0"/>
        <w:rPr>
          <w:rFonts w:ascii="Verdana" w:hAnsi="Verdana"/>
          <w:sz w:val="24"/>
          <w:szCs w:val="24"/>
        </w:rPr>
      </w:pPr>
      <w:r w:rsidRPr="00732DFA">
        <w:rPr>
          <w:rFonts w:ascii="Verdana" w:hAnsi="Verdana"/>
          <w:sz w:val="24"/>
          <w:szCs w:val="24"/>
        </w:rPr>
        <w:t>Les représentants de la communauté locale participent à la planification et à la mise en œuvre de l’étude. Les représentants de la communauté et les enquêteurs peuvent travailler ensemble pour veiller à ce que l’étude soit menée de la manière la plus appropriée</w:t>
      </w:r>
    </w:p>
    <w:p w:rsidR="0001152F" w:rsidRPr="00732DFA" w:rsidRDefault="0001152F" w:rsidP="0001152F">
      <w:pPr>
        <w:pStyle w:val="ListParagraph"/>
        <w:numPr>
          <w:ilvl w:val="0"/>
          <w:numId w:val="3"/>
        </w:numPr>
        <w:spacing w:after="0" w:line="240" w:lineRule="auto"/>
        <w:contextualSpacing w:val="0"/>
        <w:rPr>
          <w:rFonts w:ascii="Verdana" w:hAnsi="Verdana"/>
          <w:sz w:val="24"/>
          <w:szCs w:val="24"/>
        </w:rPr>
      </w:pPr>
      <w:r w:rsidRPr="00732DFA">
        <w:rPr>
          <w:rFonts w:ascii="Verdana" w:hAnsi="Verdana"/>
          <w:sz w:val="24"/>
          <w:szCs w:val="24"/>
        </w:rPr>
        <w:t>Les communautés sont informées de l’étude, de ses résultats possibles (positifs et négatifs) et des résultats des recherches menées.</w:t>
      </w:r>
    </w:p>
    <w:bookmarkEnd w:id="2"/>
    <w:p w:rsidR="0001152F" w:rsidRPr="00732DFA" w:rsidRDefault="0001152F" w:rsidP="0001152F">
      <w:pPr>
        <w:rPr>
          <w:rFonts w:ascii="Verdana" w:hAnsi="Verdana"/>
        </w:rPr>
      </w:pPr>
    </w:p>
    <w:p w:rsidR="0001152F" w:rsidRPr="00732DFA" w:rsidRDefault="0001152F" w:rsidP="0001152F">
      <w:pPr>
        <w:rPr>
          <w:rFonts w:ascii="Verdana" w:hAnsi="Verdana"/>
        </w:rPr>
      </w:pPr>
    </w:p>
    <w:p w:rsidR="0001152F" w:rsidRPr="00732DFA" w:rsidRDefault="0001152F" w:rsidP="0001152F">
      <w:pPr>
        <w:rPr>
          <w:rFonts w:ascii="Verdana" w:hAnsi="Verdana"/>
          <w:b/>
        </w:rPr>
      </w:pPr>
      <w:r w:rsidRPr="00732DFA">
        <w:rPr>
          <w:rFonts w:ascii="Verdana" w:hAnsi="Verdana"/>
          <w:b/>
        </w:rPr>
        <w:t>Qualifications et expériences requises</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Maîtrise en études du développement, études sociales ou autres domaines liés, avec cinq ans d’expérience pratique de la recherche sociale</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Au moins cinq ans d</w:t>
      </w:r>
      <w:r w:rsidRPr="00732DFA">
        <w:rPr>
          <w:rFonts w:ascii="Verdana" w:hAnsi="Verdana" w:cs="Verdana"/>
          <w:sz w:val="24"/>
          <w:szCs w:val="24"/>
        </w:rPr>
        <w:t>’</w:t>
      </w:r>
      <w:r w:rsidRPr="00732DFA">
        <w:rPr>
          <w:rFonts w:ascii="Verdana" w:hAnsi="Verdana"/>
          <w:sz w:val="24"/>
          <w:szCs w:val="24"/>
        </w:rPr>
        <w:t>exp</w:t>
      </w:r>
      <w:r w:rsidRPr="00732DFA">
        <w:rPr>
          <w:rFonts w:ascii="Verdana" w:hAnsi="Verdana" w:cs="Verdana"/>
          <w:sz w:val="24"/>
          <w:szCs w:val="24"/>
        </w:rPr>
        <w:t>é</w:t>
      </w:r>
      <w:r w:rsidRPr="00732DFA">
        <w:rPr>
          <w:rFonts w:ascii="Verdana" w:hAnsi="Verdana"/>
          <w:sz w:val="24"/>
          <w:szCs w:val="24"/>
        </w:rPr>
        <w:t>rience dans l</w:t>
      </w:r>
      <w:r w:rsidRPr="00732DFA">
        <w:rPr>
          <w:rFonts w:ascii="Verdana" w:hAnsi="Verdana" w:cs="Verdana"/>
          <w:sz w:val="24"/>
          <w:szCs w:val="24"/>
        </w:rPr>
        <w:t>’é</w:t>
      </w:r>
      <w:r w:rsidRPr="00732DFA">
        <w:rPr>
          <w:rFonts w:ascii="Verdana" w:hAnsi="Verdana"/>
          <w:sz w:val="24"/>
          <w:szCs w:val="24"/>
        </w:rPr>
        <w:t>valuation de projets dans le secteur du d</w:t>
      </w:r>
      <w:r w:rsidRPr="00732DFA">
        <w:rPr>
          <w:rFonts w:ascii="Verdana" w:hAnsi="Verdana" w:cs="Verdana"/>
          <w:sz w:val="24"/>
          <w:szCs w:val="24"/>
        </w:rPr>
        <w:t>é</w:t>
      </w:r>
      <w:r w:rsidRPr="00732DFA">
        <w:rPr>
          <w:rFonts w:ascii="Verdana" w:hAnsi="Verdana"/>
          <w:sz w:val="24"/>
          <w:szCs w:val="24"/>
        </w:rPr>
        <w:t>veloppement / d</w:t>
      </w:r>
      <w:r w:rsidRPr="00732DFA">
        <w:rPr>
          <w:rFonts w:ascii="Verdana" w:hAnsi="Verdana" w:cs="Verdana"/>
          <w:sz w:val="24"/>
          <w:szCs w:val="24"/>
        </w:rPr>
        <w:t>é</w:t>
      </w:r>
      <w:r w:rsidRPr="00732DFA">
        <w:rPr>
          <w:rFonts w:ascii="Verdana" w:hAnsi="Verdana"/>
          <w:sz w:val="24"/>
          <w:szCs w:val="24"/>
        </w:rPr>
        <w:t>veloppement international à Haïti</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Excellentes comp</w:t>
      </w:r>
      <w:r w:rsidRPr="00732DFA">
        <w:rPr>
          <w:rFonts w:ascii="Verdana" w:hAnsi="Verdana" w:cs="Verdana"/>
          <w:sz w:val="24"/>
          <w:szCs w:val="24"/>
        </w:rPr>
        <w:t>é</w:t>
      </w:r>
      <w:r w:rsidRPr="00732DFA">
        <w:rPr>
          <w:rFonts w:ascii="Verdana" w:hAnsi="Verdana"/>
          <w:sz w:val="24"/>
          <w:szCs w:val="24"/>
        </w:rPr>
        <w:t>tences d</w:t>
      </w:r>
      <w:r w:rsidRPr="00732DFA">
        <w:rPr>
          <w:rFonts w:ascii="Verdana" w:hAnsi="Verdana" w:cs="Verdana"/>
          <w:sz w:val="24"/>
          <w:szCs w:val="24"/>
        </w:rPr>
        <w:t>’é</w:t>
      </w:r>
      <w:r w:rsidRPr="00732DFA">
        <w:rPr>
          <w:rFonts w:ascii="Verdana" w:hAnsi="Verdana"/>
          <w:sz w:val="24"/>
          <w:szCs w:val="24"/>
        </w:rPr>
        <w:t>valuation, y compris les techniques d</w:t>
      </w:r>
      <w:r w:rsidRPr="00732DFA">
        <w:rPr>
          <w:rFonts w:ascii="Verdana" w:hAnsi="Verdana" w:cs="Verdana"/>
          <w:sz w:val="24"/>
          <w:szCs w:val="24"/>
        </w:rPr>
        <w:t>’é</w:t>
      </w:r>
      <w:r w:rsidRPr="00732DFA">
        <w:rPr>
          <w:rFonts w:ascii="Verdana" w:hAnsi="Verdana"/>
          <w:sz w:val="24"/>
          <w:szCs w:val="24"/>
        </w:rPr>
        <w:t>valuation participatives de la collecte de donn</w:t>
      </w:r>
      <w:r w:rsidRPr="00732DFA">
        <w:rPr>
          <w:rFonts w:ascii="Verdana" w:hAnsi="Verdana" w:cs="Verdana"/>
          <w:sz w:val="24"/>
          <w:szCs w:val="24"/>
        </w:rPr>
        <w:t>é</w:t>
      </w:r>
      <w:r w:rsidRPr="00732DFA">
        <w:rPr>
          <w:rFonts w:ascii="Verdana" w:hAnsi="Verdana"/>
          <w:sz w:val="24"/>
          <w:szCs w:val="24"/>
        </w:rPr>
        <w:t xml:space="preserve">es prenant en compte les questions de genre. </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Exp</w:t>
      </w:r>
      <w:r w:rsidRPr="00732DFA">
        <w:rPr>
          <w:rFonts w:ascii="Verdana" w:hAnsi="Verdana" w:cs="Verdana"/>
          <w:sz w:val="24"/>
          <w:szCs w:val="24"/>
        </w:rPr>
        <w:t>é</w:t>
      </w:r>
      <w:r w:rsidRPr="00732DFA">
        <w:rPr>
          <w:rFonts w:ascii="Verdana" w:hAnsi="Verdana"/>
          <w:sz w:val="24"/>
          <w:szCs w:val="24"/>
        </w:rPr>
        <w:t xml:space="preserve">rience des outils et techniques qualitatifs et quantitatifs. </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Excellentes compétences d’analyse (qualitative et quantitative) et de rédaction de rapport</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Solides comp</w:t>
      </w:r>
      <w:r w:rsidRPr="00732DFA">
        <w:rPr>
          <w:rFonts w:ascii="Verdana" w:hAnsi="Verdana" w:cs="Verdana"/>
          <w:sz w:val="24"/>
          <w:szCs w:val="24"/>
        </w:rPr>
        <w:t>é</w:t>
      </w:r>
      <w:r w:rsidRPr="00732DFA">
        <w:rPr>
          <w:rFonts w:ascii="Verdana" w:hAnsi="Verdana"/>
          <w:sz w:val="24"/>
          <w:szCs w:val="24"/>
        </w:rPr>
        <w:t>tences de communication et interpersonnelles, surtout avec les groupes vuln</w:t>
      </w:r>
      <w:r w:rsidRPr="00732DFA">
        <w:rPr>
          <w:rFonts w:ascii="Verdana" w:hAnsi="Verdana" w:cs="Verdana"/>
          <w:sz w:val="24"/>
          <w:szCs w:val="24"/>
        </w:rPr>
        <w:t>é</w:t>
      </w:r>
      <w:r w:rsidRPr="00732DFA">
        <w:rPr>
          <w:rFonts w:ascii="Verdana" w:hAnsi="Verdana"/>
          <w:sz w:val="24"/>
          <w:szCs w:val="24"/>
        </w:rPr>
        <w:t>rables</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Exp</w:t>
      </w:r>
      <w:r w:rsidRPr="00732DFA">
        <w:rPr>
          <w:rFonts w:ascii="Verdana" w:hAnsi="Verdana" w:cs="Verdana"/>
          <w:sz w:val="24"/>
          <w:szCs w:val="24"/>
        </w:rPr>
        <w:t>é</w:t>
      </w:r>
      <w:r w:rsidRPr="00732DFA">
        <w:rPr>
          <w:rFonts w:ascii="Verdana" w:hAnsi="Verdana"/>
          <w:sz w:val="24"/>
          <w:szCs w:val="24"/>
        </w:rPr>
        <w:t xml:space="preserve">rience des </w:t>
      </w:r>
      <w:r w:rsidRPr="00732DFA">
        <w:rPr>
          <w:rFonts w:ascii="Verdana" w:hAnsi="Verdana" w:cs="Verdana"/>
          <w:sz w:val="24"/>
          <w:szCs w:val="24"/>
        </w:rPr>
        <w:t>é</w:t>
      </w:r>
      <w:r w:rsidRPr="00732DFA">
        <w:rPr>
          <w:rFonts w:ascii="Verdana" w:hAnsi="Verdana"/>
          <w:sz w:val="24"/>
          <w:szCs w:val="24"/>
        </w:rPr>
        <w:t>changes avec une gamme d</w:t>
      </w:r>
      <w:r w:rsidRPr="00732DFA">
        <w:rPr>
          <w:rFonts w:ascii="Verdana" w:hAnsi="Verdana" w:cs="Verdana"/>
          <w:sz w:val="24"/>
          <w:szCs w:val="24"/>
        </w:rPr>
        <w:t>’</w:t>
      </w:r>
      <w:r w:rsidRPr="00732DFA">
        <w:rPr>
          <w:rFonts w:ascii="Verdana" w:hAnsi="Verdana"/>
          <w:sz w:val="24"/>
          <w:szCs w:val="24"/>
        </w:rPr>
        <w:t>acteurs externes, y compris des interactions avec les hauts fonctionnaires et les ONG</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Excellent niveau de fran</w:t>
      </w:r>
      <w:r w:rsidRPr="00732DFA">
        <w:rPr>
          <w:rFonts w:ascii="Verdana" w:hAnsi="Verdana" w:cs="Verdana"/>
          <w:sz w:val="24"/>
          <w:szCs w:val="24"/>
        </w:rPr>
        <w:t>ç</w:t>
      </w:r>
      <w:r w:rsidRPr="00732DFA">
        <w:rPr>
          <w:rFonts w:ascii="Verdana" w:hAnsi="Verdana"/>
          <w:sz w:val="24"/>
          <w:szCs w:val="24"/>
        </w:rPr>
        <w:t>ais et de cr</w:t>
      </w:r>
      <w:r w:rsidRPr="00732DFA">
        <w:rPr>
          <w:rFonts w:ascii="Verdana" w:hAnsi="Verdana" w:cs="Verdana"/>
          <w:sz w:val="24"/>
          <w:szCs w:val="24"/>
        </w:rPr>
        <w:t>é</w:t>
      </w:r>
      <w:r w:rsidRPr="00732DFA">
        <w:rPr>
          <w:rFonts w:ascii="Verdana" w:hAnsi="Verdana"/>
          <w:sz w:val="24"/>
          <w:szCs w:val="24"/>
        </w:rPr>
        <w:t>ole ha</w:t>
      </w:r>
      <w:r w:rsidRPr="00732DFA">
        <w:rPr>
          <w:rFonts w:ascii="Verdana" w:hAnsi="Verdana" w:cs="Verdana"/>
          <w:sz w:val="24"/>
          <w:szCs w:val="24"/>
        </w:rPr>
        <w:t>ï</w:t>
      </w:r>
      <w:r w:rsidRPr="00732DFA">
        <w:rPr>
          <w:rFonts w:ascii="Verdana" w:hAnsi="Verdana"/>
          <w:sz w:val="24"/>
          <w:szCs w:val="24"/>
        </w:rPr>
        <w:t xml:space="preserve">tien </w:t>
      </w:r>
      <w:r w:rsidRPr="00732DFA">
        <w:rPr>
          <w:rFonts w:ascii="Verdana" w:hAnsi="Verdana" w:cs="Verdana"/>
          <w:sz w:val="24"/>
          <w:szCs w:val="24"/>
        </w:rPr>
        <w:t>é</w:t>
      </w:r>
      <w:r w:rsidRPr="00732DFA">
        <w:rPr>
          <w:rFonts w:ascii="Verdana" w:hAnsi="Verdana"/>
          <w:sz w:val="24"/>
          <w:szCs w:val="24"/>
        </w:rPr>
        <w:t>crit et parl</w:t>
      </w:r>
      <w:r w:rsidRPr="00732DFA">
        <w:rPr>
          <w:rFonts w:ascii="Verdana" w:hAnsi="Verdana" w:cs="Verdana"/>
          <w:sz w:val="24"/>
          <w:szCs w:val="24"/>
        </w:rPr>
        <w:t>é</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lastRenderedPageBreak/>
        <w:t>Bonne capacit</w:t>
      </w:r>
      <w:r w:rsidRPr="00732DFA">
        <w:rPr>
          <w:rFonts w:ascii="Verdana" w:hAnsi="Verdana" w:cs="Verdana"/>
          <w:sz w:val="24"/>
          <w:szCs w:val="24"/>
        </w:rPr>
        <w:t>é</w:t>
      </w:r>
      <w:r w:rsidRPr="00732DFA">
        <w:rPr>
          <w:rFonts w:ascii="Verdana" w:hAnsi="Verdana"/>
          <w:sz w:val="24"/>
          <w:szCs w:val="24"/>
        </w:rPr>
        <w:t xml:space="preserve"> </w:t>
      </w:r>
      <w:r w:rsidRPr="00732DFA">
        <w:rPr>
          <w:rFonts w:ascii="Verdana" w:hAnsi="Verdana" w:cs="Verdana"/>
          <w:sz w:val="24"/>
          <w:szCs w:val="24"/>
        </w:rPr>
        <w:t>à</w:t>
      </w:r>
      <w:r w:rsidRPr="00732DFA">
        <w:rPr>
          <w:rFonts w:ascii="Verdana" w:hAnsi="Verdana"/>
          <w:sz w:val="24"/>
          <w:szCs w:val="24"/>
        </w:rPr>
        <w:t xml:space="preserve"> comprendre et lire des documents de travail en anglais</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Capacit</w:t>
      </w:r>
      <w:r w:rsidRPr="00732DFA">
        <w:rPr>
          <w:rFonts w:ascii="Verdana" w:hAnsi="Verdana" w:cs="Verdana"/>
          <w:sz w:val="24"/>
          <w:szCs w:val="24"/>
        </w:rPr>
        <w:t>é</w:t>
      </w:r>
      <w:r w:rsidRPr="00732DFA">
        <w:rPr>
          <w:rFonts w:ascii="Verdana" w:hAnsi="Verdana"/>
          <w:sz w:val="24"/>
          <w:szCs w:val="24"/>
        </w:rPr>
        <w:t xml:space="preserve"> </w:t>
      </w:r>
      <w:r w:rsidRPr="00732DFA">
        <w:rPr>
          <w:rFonts w:ascii="Verdana" w:hAnsi="Verdana" w:cs="Verdana"/>
          <w:sz w:val="24"/>
          <w:szCs w:val="24"/>
        </w:rPr>
        <w:t>à</w:t>
      </w:r>
      <w:r w:rsidRPr="00732DFA">
        <w:rPr>
          <w:rFonts w:ascii="Verdana" w:hAnsi="Verdana"/>
          <w:sz w:val="24"/>
          <w:szCs w:val="24"/>
        </w:rPr>
        <w:t xml:space="preserve"> consolider des informations en provenance de sources multiples</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Capacit</w:t>
      </w:r>
      <w:r w:rsidRPr="00732DFA">
        <w:rPr>
          <w:rFonts w:ascii="Verdana" w:hAnsi="Verdana" w:cs="Verdana"/>
          <w:sz w:val="24"/>
          <w:szCs w:val="24"/>
        </w:rPr>
        <w:t>é</w:t>
      </w:r>
      <w:r w:rsidRPr="00732DFA">
        <w:rPr>
          <w:rFonts w:ascii="Verdana" w:hAnsi="Verdana"/>
          <w:sz w:val="24"/>
          <w:szCs w:val="24"/>
        </w:rPr>
        <w:t xml:space="preserve"> et aptitude </w:t>
      </w:r>
      <w:r w:rsidRPr="00732DFA">
        <w:rPr>
          <w:rFonts w:ascii="Verdana" w:hAnsi="Verdana" w:cs="Verdana"/>
          <w:sz w:val="24"/>
          <w:szCs w:val="24"/>
        </w:rPr>
        <w:t>à</w:t>
      </w:r>
      <w:r w:rsidRPr="00732DFA">
        <w:rPr>
          <w:rFonts w:ascii="Verdana" w:hAnsi="Verdana"/>
          <w:sz w:val="24"/>
          <w:szCs w:val="24"/>
        </w:rPr>
        <w:t xml:space="preserve"> voyager en Ha</w:t>
      </w:r>
      <w:r w:rsidRPr="00732DFA">
        <w:rPr>
          <w:rFonts w:ascii="Verdana" w:hAnsi="Verdana" w:cs="Verdana"/>
          <w:sz w:val="24"/>
          <w:szCs w:val="24"/>
        </w:rPr>
        <w:t>ï</w:t>
      </w:r>
      <w:r w:rsidRPr="00732DFA">
        <w:rPr>
          <w:rFonts w:ascii="Verdana" w:hAnsi="Verdana"/>
          <w:sz w:val="24"/>
          <w:szCs w:val="24"/>
        </w:rPr>
        <w:t xml:space="preserve">ti  </w:t>
      </w:r>
    </w:p>
    <w:p w:rsidR="0001152F" w:rsidRPr="00732DFA" w:rsidRDefault="0001152F" w:rsidP="0001152F">
      <w:pPr>
        <w:pStyle w:val="ListParagraph"/>
        <w:numPr>
          <w:ilvl w:val="0"/>
          <w:numId w:val="4"/>
        </w:numPr>
        <w:spacing w:after="0" w:line="240" w:lineRule="auto"/>
        <w:contextualSpacing w:val="0"/>
        <w:rPr>
          <w:rFonts w:ascii="Verdana" w:hAnsi="Verdana"/>
          <w:sz w:val="24"/>
          <w:szCs w:val="24"/>
        </w:rPr>
      </w:pPr>
      <w:r w:rsidRPr="00732DFA">
        <w:rPr>
          <w:rFonts w:ascii="Verdana" w:hAnsi="Verdana"/>
          <w:sz w:val="24"/>
          <w:szCs w:val="24"/>
        </w:rPr>
        <w:t>Exp</w:t>
      </w:r>
      <w:r w:rsidRPr="00732DFA">
        <w:rPr>
          <w:rFonts w:ascii="Verdana" w:hAnsi="Verdana" w:cs="Verdana"/>
          <w:sz w:val="24"/>
          <w:szCs w:val="24"/>
        </w:rPr>
        <w:t>é</w:t>
      </w:r>
      <w:r w:rsidRPr="00732DFA">
        <w:rPr>
          <w:rFonts w:ascii="Verdana" w:hAnsi="Verdana"/>
          <w:sz w:val="24"/>
          <w:szCs w:val="24"/>
        </w:rPr>
        <w:t xml:space="preserve">rience du travail sur des projets ciblant les ménages vulnérables. </w:t>
      </w:r>
    </w:p>
    <w:p w:rsidR="0001152F" w:rsidRPr="00732DFA" w:rsidRDefault="0001152F" w:rsidP="0001152F">
      <w:pPr>
        <w:rPr>
          <w:rFonts w:ascii="Verdana" w:hAnsi="Verdana"/>
        </w:rPr>
      </w:pPr>
    </w:p>
    <w:p w:rsidR="0001152F" w:rsidRPr="00732DFA" w:rsidRDefault="0001152F" w:rsidP="0001152F">
      <w:pPr>
        <w:rPr>
          <w:rFonts w:ascii="Verdana" w:hAnsi="Verdana"/>
        </w:rPr>
      </w:pPr>
    </w:p>
    <w:p w:rsidR="0001152F" w:rsidRPr="00732DFA" w:rsidRDefault="0001152F" w:rsidP="0001152F">
      <w:pPr>
        <w:rPr>
          <w:rFonts w:ascii="Verdana" w:hAnsi="Verdana"/>
          <w:b/>
        </w:rPr>
      </w:pPr>
      <w:r w:rsidRPr="00732DFA">
        <w:rPr>
          <w:rFonts w:ascii="Verdana" w:hAnsi="Verdana"/>
          <w:b/>
        </w:rPr>
        <w:t xml:space="preserve">Procédure de candidature </w:t>
      </w:r>
    </w:p>
    <w:p w:rsidR="0001152F" w:rsidRPr="00732DFA" w:rsidRDefault="0001152F" w:rsidP="0001152F">
      <w:pPr>
        <w:rPr>
          <w:rFonts w:ascii="Verdana" w:hAnsi="Verdana"/>
        </w:rPr>
      </w:pPr>
      <w:r w:rsidRPr="00732DFA">
        <w:rPr>
          <w:rFonts w:ascii="Verdana" w:hAnsi="Verdana"/>
        </w:rPr>
        <w:t>Les candidat(e)s qualifié(e)s enverront les informations suivantes dans le cadre de la première étape :</w:t>
      </w:r>
    </w:p>
    <w:p w:rsidR="0001152F" w:rsidRPr="00732DFA" w:rsidRDefault="0001152F" w:rsidP="0001152F">
      <w:pPr>
        <w:pStyle w:val="ListParagraph"/>
        <w:numPr>
          <w:ilvl w:val="0"/>
          <w:numId w:val="5"/>
        </w:numPr>
        <w:spacing w:after="0" w:line="240" w:lineRule="auto"/>
        <w:contextualSpacing w:val="0"/>
        <w:rPr>
          <w:rFonts w:ascii="Verdana" w:hAnsi="Verdana"/>
          <w:sz w:val="24"/>
          <w:szCs w:val="24"/>
        </w:rPr>
      </w:pPr>
      <w:r w:rsidRPr="00732DFA">
        <w:rPr>
          <w:rFonts w:ascii="Verdana" w:hAnsi="Verdana"/>
          <w:sz w:val="24"/>
          <w:szCs w:val="24"/>
        </w:rPr>
        <w:t>CV du consultant (maximum deux pages par CV)</w:t>
      </w:r>
    </w:p>
    <w:p w:rsidR="0001152F" w:rsidRPr="00732DFA" w:rsidRDefault="0001152F" w:rsidP="0001152F">
      <w:pPr>
        <w:pStyle w:val="ListParagraph"/>
        <w:numPr>
          <w:ilvl w:val="0"/>
          <w:numId w:val="5"/>
        </w:numPr>
        <w:rPr>
          <w:rFonts w:ascii="Verdana" w:hAnsi="Verdana"/>
          <w:sz w:val="24"/>
          <w:szCs w:val="24"/>
        </w:rPr>
      </w:pPr>
      <w:r w:rsidRPr="00732DFA">
        <w:rPr>
          <w:rFonts w:ascii="Verdana" w:hAnsi="Verdana"/>
          <w:sz w:val="24"/>
          <w:szCs w:val="24"/>
        </w:rPr>
        <w:t xml:space="preserve">Deux références de clients. </w:t>
      </w:r>
    </w:p>
    <w:p w:rsidR="0001152F" w:rsidRPr="00732DFA" w:rsidRDefault="0001152F" w:rsidP="0001152F">
      <w:pPr>
        <w:pStyle w:val="ListParagraph"/>
        <w:numPr>
          <w:ilvl w:val="0"/>
          <w:numId w:val="5"/>
        </w:numPr>
        <w:rPr>
          <w:rFonts w:ascii="Verdana" w:hAnsi="Verdana"/>
          <w:sz w:val="24"/>
          <w:szCs w:val="24"/>
        </w:rPr>
      </w:pPr>
      <w:r w:rsidRPr="00732DFA">
        <w:rPr>
          <w:rFonts w:ascii="Verdana" w:hAnsi="Verdana"/>
          <w:sz w:val="24"/>
          <w:szCs w:val="24"/>
        </w:rPr>
        <w:t xml:space="preserve">Un exemple de rapport d’étude et d'évaluation récent/pertinent. Veuillez donner le lien s'il est disponible en ligne. </w:t>
      </w:r>
    </w:p>
    <w:p w:rsidR="0001152F" w:rsidRPr="00732DFA" w:rsidRDefault="0001152F" w:rsidP="0001152F">
      <w:pPr>
        <w:rPr>
          <w:rFonts w:ascii="Verdana" w:hAnsi="Verdana"/>
        </w:rPr>
      </w:pPr>
      <w:r w:rsidRPr="00732DFA">
        <w:rPr>
          <w:rFonts w:ascii="Verdana" w:hAnsi="Verdana"/>
        </w:rPr>
        <w:t>Prière d’envoyer les candidatures à l’adresse suivante :</w:t>
      </w:r>
    </w:p>
    <w:p w:rsidR="0001152F" w:rsidRPr="00717E0F" w:rsidRDefault="0001152F" w:rsidP="00717E0F">
      <w:pPr>
        <w:ind w:left="360"/>
        <w:rPr>
          <w:rFonts w:ascii="Verdana" w:hAnsi="Verdana"/>
          <w:b/>
        </w:rPr>
      </w:pPr>
      <w:r w:rsidRPr="00717E0F">
        <w:rPr>
          <w:rFonts w:ascii="Verdana" w:hAnsi="Verdana"/>
        </w:rPr>
        <w:t xml:space="preserve">  </w:t>
      </w:r>
    </w:p>
    <w:p w:rsidR="00F95153" w:rsidRPr="00717E0F" w:rsidRDefault="0055360D" w:rsidP="00F95153">
      <w:pPr>
        <w:rPr>
          <w:b/>
          <w:sz w:val="28"/>
          <w:szCs w:val="28"/>
        </w:rPr>
      </w:pPr>
      <w:hyperlink r:id="rId5" w:history="1">
        <w:r w:rsidRPr="00051594">
          <w:rPr>
            <w:rStyle w:val="Hyperlink"/>
            <w:b/>
            <w:sz w:val="28"/>
            <w:szCs w:val="28"/>
          </w:rPr>
          <w:t>HaitiURPrecruitment@gmail.com</w:t>
        </w:r>
      </w:hyperlink>
    </w:p>
    <w:p w:rsidR="00732DFA" w:rsidRPr="00717E0F" w:rsidRDefault="00732DFA" w:rsidP="00732DFA">
      <w:pPr>
        <w:jc w:val="both"/>
        <w:rPr>
          <w:b/>
          <w:sz w:val="28"/>
          <w:szCs w:val="28"/>
          <w:lang w:val="fr-CA"/>
        </w:rPr>
      </w:pPr>
      <w:r w:rsidRPr="00717E0F">
        <w:rPr>
          <w:b/>
          <w:sz w:val="28"/>
          <w:szCs w:val="28"/>
          <w:lang w:val="fr-CA"/>
        </w:rPr>
        <w:t xml:space="preserve">Objet : Étude de base – candidature </w:t>
      </w:r>
    </w:p>
    <w:p w:rsidR="00732DFA" w:rsidRPr="00717E0F" w:rsidRDefault="00732DFA" w:rsidP="00732DFA">
      <w:pPr>
        <w:jc w:val="both"/>
        <w:rPr>
          <w:b/>
          <w:sz w:val="28"/>
          <w:szCs w:val="28"/>
          <w:lang w:val="fr-CA"/>
        </w:rPr>
      </w:pPr>
      <w:r w:rsidRPr="00717E0F">
        <w:rPr>
          <w:b/>
          <w:sz w:val="28"/>
          <w:szCs w:val="28"/>
          <w:lang w:val="fr-CA"/>
        </w:rPr>
        <w:t xml:space="preserve">Échéance : </w:t>
      </w:r>
      <w:r w:rsidR="0055360D">
        <w:rPr>
          <w:b/>
          <w:sz w:val="28"/>
          <w:szCs w:val="28"/>
          <w:lang w:val="fr-CA"/>
        </w:rPr>
        <w:t>25</w:t>
      </w:r>
      <w:r w:rsidRPr="00717E0F">
        <w:rPr>
          <w:b/>
          <w:sz w:val="28"/>
          <w:szCs w:val="28"/>
          <w:lang w:val="fr-CA"/>
        </w:rPr>
        <w:t xml:space="preserve"> avril 2018</w:t>
      </w:r>
    </w:p>
    <w:p w:rsidR="00F95153" w:rsidRDefault="00F95153" w:rsidP="00732DFA">
      <w:pPr>
        <w:jc w:val="both"/>
        <w:rPr>
          <w:rFonts w:ascii="Verdana" w:hAnsi="Verdana"/>
          <w:lang w:val="fr-CA"/>
        </w:rPr>
      </w:pPr>
    </w:p>
    <w:p w:rsidR="00732DFA" w:rsidRPr="00732DFA" w:rsidRDefault="00732DFA" w:rsidP="00732DFA">
      <w:pPr>
        <w:jc w:val="both"/>
        <w:rPr>
          <w:rFonts w:ascii="Verdana" w:hAnsi="Verdana"/>
          <w:lang w:val="fr-CA"/>
        </w:rPr>
      </w:pPr>
      <w:r w:rsidRPr="00732DFA">
        <w:rPr>
          <w:rFonts w:ascii="Verdana" w:hAnsi="Verdana"/>
          <w:lang w:val="fr-CA"/>
        </w:rPr>
        <w:t>Ce recrutement est mené sur une base continue, alors veuillez soumettre votre demande dès que possible. Aucune demande téléphonique, s'il vous plaît. Veuillez noter que les candidatures ne satisfaisant pas tous les critères ci-dessus ne seront pas prises en compte. Seul(e)s les candidat(e)s sélectionné(e)s seront contacté(e)s.</w:t>
      </w:r>
    </w:p>
    <w:p w:rsidR="0001152F" w:rsidRPr="00732DFA" w:rsidRDefault="0001152F" w:rsidP="0001152F">
      <w:pPr>
        <w:rPr>
          <w:rFonts w:ascii="Verdana" w:hAnsi="Verdana"/>
          <w:b/>
          <w:lang w:val="fr-CA"/>
        </w:rPr>
      </w:pPr>
    </w:p>
    <w:p w:rsidR="00732DFA" w:rsidRPr="00732DFA" w:rsidRDefault="00732DFA" w:rsidP="00732DFA">
      <w:pPr>
        <w:jc w:val="both"/>
        <w:rPr>
          <w:rFonts w:ascii="Verdana" w:hAnsi="Verdana"/>
          <w:lang w:val="fr-CA"/>
        </w:rPr>
      </w:pPr>
      <w:proofErr w:type="spellStart"/>
      <w:r w:rsidRPr="00732DFA">
        <w:rPr>
          <w:rFonts w:ascii="Verdana" w:hAnsi="Verdana"/>
          <w:lang w:val="fr-CA"/>
        </w:rPr>
        <w:t>Chemonics</w:t>
      </w:r>
      <w:proofErr w:type="spellEnd"/>
      <w:r w:rsidRPr="00732DFA">
        <w:rPr>
          <w:rFonts w:ascii="Verdana" w:hAnsi="Verdana"/>
          <w:lang w:val="fr-CA"/>
        </w:rPr>
        <w:t xml:space="preserve"> est un employeur qui offre l'égalité des chances et ne fait pas de discrimination dans ses pratiques de sélection et d'emploi en fonction de la race, de la couleur, de la religion, du sexe, de l'origine nationale, de l'affiliation politique, de l'orientation sexuelle, de l'identité de genre, de l'état matrimonial, du handicap, de l'information génétique, de l'âge, l'appartenance à une organisation salariée ou d'autres facteurs non liés au mérite.</w:t>
      </w:r>
    </w:p>
    <w:p w:rsidR="00732DFA" w:rsidRPr="008E6796" w:rsidRDefault="00732DFA" w:rsidP="00732DFA">
      <w:pPr>
        <w:jc w:val="both"/>
        <w:rPr>
          <w:lang w:val="fr-CA"/>
        </w:rPr>
      </w:pPr>
    </w:p>
    <w:p w:rsidR="0001152F" w:rsidRPr="00732DFA" w:rsidRDefault="0001152F" w:rsidP="0001152F">
      <w:pPr>
        <w:rPr>
          <w:rFonts w:ascii="Verdana" w:hAnsi="Verdana"/>
          <w:b/>
          <w:sz w:val="20"/>
          <w:szCs w:val="20"/>
          <w:lang w:val="fr-CA"/>
        </w:rPr>
      </w:pPr>
    </w:p>
    <w:p w:rsidR="0001152F" w:rsidRDefault="0001152F" w:rsidP="0001152F">
      <w:pPr>
        <w:rPr>
          <w:rFonts w:ascii="Verdana" w:hAnsi="Verdana"/>
          <w:b/>
          <w:sz w:val="20"/>
          <w:szCs w:val="20"/>
        </w:rPr>
      </w:pPr>
    </w:p>
    <w:p w:rsidR="0001152F" w:rsidRPr="00AC366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Pr="00176A90" w:rsidRDefault="0001152F" w:rsidP="0001152F">
      <w:pPr>
        <w:rPr>
          <w:rFonts w:ascii="Verdana" w:hAnsi="Verdana"/>
          <w:sz w:val="20"/>
          <w:szCs w:val="20"/>
        </w:rPr>
      </w:pPr>
    </w:p>
    <w:p w:rsidR="0001152F" w:rsidRDefault="0001152F"/>
    <w:sectPr w:rsidR="00011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E2B82"/>
    <w:multiLevelType w:val="hybridMultilevel"/>
    <w:tmpl w:val="90C088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2975CD"/>
    <w:multiLevelType w:val="hybridMultilevel"/>
    <w:tmpl w:val="099E622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0266BE"/>
    <w:multiLevelType w:val="hybridMultilevel"/>
    <w:tmpl w:val="8B409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4363FE"/>
    <w:multiLevelType w:val="hybridMultilevel"/>
    <w:tmpl w:val="C1020BE0"/>
    <w:lvl w:ilvl="0" w:tplc="DF346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63132"/>
    <w:multiLevelType w:val="hybridMultilevel"/>
    <w:tmpl w:val="245C2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40D81"/>
    <w:multiLevelType w:val="hybridMultilevel"/>
    <w:tmpl w:val="A0EC14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91FDD"/>
    <w:multiLevelType w:val="hybridMultilevel"/>
    <w:tmpl w:val="1BFE43D8"/>
    <w:lvl w:ilvl="0" w:tplc="DF346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2F"/>
    <w:rsid w:val="0001152F"/>
    <w:rsid w:val="000578C8"/>
    <w:rsid w:val="000D0FD2"/>
    <w:rsid w:val="000E5C35"/>
    <w:rsid w:val="00154432"/>
    <w:rsid w:val="00526F57"/>
    <w:rsid w:val="0055360D"/>
    <w:rsid w:val="00717E0F"/>
    <w:rsid w:val="00732DFA"/>
    <w:rsid w:val="007D679B"/>
    <w:rsid w:val="00BB55A5"/>
    <w:rsid w:val="00F1339D"/>
    <w:rsid w:val="00F95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22A1F"/>
  <w15:chartTrackingRefBased/>
  <w15:docId w15:val="{942C1FF3-E378-45A8-AE4B-56DFE0D6D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152F"/>
    <w:pPr>
      <w:spacing w:after="0" w:line="240" w:lineRule="auto"/>
    </w:pPr>
    <w:rPr>
      <w:rFonts w:ascii="Times New Roman" w:eastAsia="Times New Roman" w:hAnsi="Times New Roman" w:cs="Times New Roman"/>
      <w:sz w:val="24"/>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1152F"/>
    <w:pPr>
      <w:spacing w:after="200" w:line="276" w:lineRule="auto"/>
      <w:ind w:left="720"/>
      <w:contextualSpacing/>
    </w:pPr>
    <w:rPr>
      <w:rFonts w:ascii="Calibri" w:eastAsia="Calibri" w:hAnsi="Calibri"/>
      <w:sz w:val="22"/>
      <w:szCs w:val="22"/>
    </w:rPr>
  </w:style>
  <w:style w:type="character" w:customStyle="1" w:styleId="ListParagraphChar">
    <w:name w:val="List Paragraph Char"/>
    <w:link w:val="ListParagraph"/>
    <w:uiPriority w:val="34"/>
    <w:rsid w:val="0001152F"/>
    <w:rPr>
      <w:rFonts w:ascii="Calibri" w:eastAsia="Calibri" w:hAnsi="Calibri" w:cs="Times New Roman"/>
      <w:lang w:val="fr-FR"/>
    </w:rPr>
  </w:style>
  <w:style w:type="paragraph" w:customStyle="1" w:styleId="paragraph">
    <w:name w:val="paragraph"/>
    <w:basedOn w:val="Normal"/>
    <w:rsid w:val="0001152F"/>
    <w:pPr>
      <w:spacing w:before="100" w:beforeAutospacing="1" w:after="100" w:afterAutospacing="1"/>
    </w:pPr>
    <w:rPr>
      <w:lang w:val="en-US"/>
    </w:rPr>
  </w:style>
  <w:style w:type="character" w:customStyle="1" w:styleId="normaltextrun">
    <w:name w:val="normaltextrun"/>
    <w:basedOn w:val="DefaultParagraphFont"/>
    <w:rsid w:val="0001152F"/>
  </w:style>
  <w:style w:type="character" w:customStyle="1" w:styleId="eop">
    <w:name w:val="eop"/>
    <w:basedOn w:val="DefaultParagraphFont"/>
    <w:rsid w:val="0001152F"/>
  </w:style>
  <w:style w:type="character" w:styleId="Hyperlink">
    <w:name w:val="Hyperlink"/>
    <w:basedOn w:val="DefaultParagraphFont"/>
    <w:uiPriority w:val="99"/>
    <w:unhideWhenUsed/>
    <w:rsid w:val="0055360D"/>
    <w:rPr>
      <w:color w:val="0563C1" w:themeColor="hyperlink"/>
      <w:u w:val="single"/>
    </w:rPr>
  </w:style>
  <w:style w:type="character" w:styleId="UnresolvedMention">
    <w:name w:val="Unresolved Mention"/>
    <w:basedOn w:val="DefaultParagraphFont"/>
    <w:uiPriority w:val="99"/>
    <w:semiHidden/>
    <w:unhideWhenUsed/>
    <w:rsid w:val="005536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itiURPrecruitmen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Wisner Myril</dc:creator>
  <cp:keywords/>
  <dc:description/>
  <cp:lastModifiedBy>Roberts Waddle</cp:lastModifiedBy>
  <cp:revision>5</cp:revision>
  <dcterms:created xsi:type="dcterms:W3CDTF">2018-04-12T20:26:00Z</dcterms:created>
  <dcterms:modified xsi:type="dcterms:W3CDTF">2018-04-20T03:40:00Z</dcterms:modified>
</cp:coreProperties>
</file>