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30" w:rsidRDefault="00BA5D30" w:rsidP="00BA5D30">
      <w:pPr>
        <w:rPr>
          <w:b/>
          <w:sz w:val="36"/>
          <w:szCs w:val="36"/>
          <w:lang w:val="fr-FR"/>
        </w:rPr>
      </w:pPr>
    </w:p>
    <w:p w:rsidR="00BA5D30" w:rsidRPr="00AE4292" w:rsidRDefault="00BA5D30" w:rsidP="00BA5D30">
      <w:pPr>
        <w:rPr>
          <w:noProof/>
          <w:lang w:val="fr-FR"/>
        </w:rPr>
      </w:pPr>
      <w:r w:rsidRPr="00AE4292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3E59AF98" wp14:editId="11B23902">
            <wp:extent cx="1248508" cy="82647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074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960">
        <w:rPr>
          <w:rFonts w:ascii="Arial Narrow" w:hAnsi="Arial Narrow"/>
          <w:i/>
          <w:iCs/>
          <w:noProof/>
          <w:color w:val="243F60"/>
          <w:sz w:val="28"/>
          <w:szCs w:val="28"/>
          <w:lang w:val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6.5pt;height:51.75pt" fillcolor="black" strokecolor="#92d050">
            <v:shadow color="#868686"/>
            <v:textpath style="font-family:&quot;Arial Black&quot;;font-size:24pt;v-text-kern:t" trim="t" fitpath="t" string="Ministère de la Santé Publique et de la population (MSPP)"/>
          </v:shape>
        </w:pict>
      </w:r>
      <w:r w:rsidRPr="00AE4292">
        <w:rPr>
          <w:rFonts w:ascii="Arial Narrow" w:hAnsi="Arial Narrow"/>
          <w:i/>
          <w:noProof/>
          <w:sz w:val="28"/>
          <w:szCs w:val="28"/>
        </w:rPr>
        <w:drawing>
          <wp:inline distT="0" distB="0" distL="0" distR="0" wp14:anchorId="7D41AC95" wp14:editId="5B86CC6F">
            <wp:extent cx="1057275" cy="650404"/>
            <wp:effectExtent l="0" t="0" r="0" b="0"/>
            <wp:docPr id="2" name="Picture 1" descr="C:\Users\PNLT\AppData\Local\Microsoft\Windows\Temporary Internet Files\Content.IE5\ITXVAFPT\PN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NLT\AppData\Local\Microsoft\Windows\Temporary Internet Files\Content.IE5\ITXVAFPT\PN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7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D30" w:rsidRDefault="00BA5D30" w:rsidP="00BA5D30">
      <w:pPr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fr-FR" w:eastAsia="fr-FR"/>
        </w:rPr>
      </w:pPr>
      <w:r w:rsidRPr="00AE429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fr-FR" w:eastAsia="fr-FR"/>
        </w:rPr>
        <w:t>PROGRAMME NATIONAL DE LUTTE CONTRE LA TUBERCULOSE</w:t>
      </w:r>
      <w:bookmarkStart w:id="0" w:name="_GoBack"/>
      <w:bookmarkEnd w:id="0"/>
    </w:p>
    <w:p w:rsidR="00BA5D30" w:rsidRPr="000C642E" w:rsidRDefault="00BA5D30" w:rsidP="00BA5D30">
      <w:pPr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fr-FR" w:eastAsia="fr-FR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fr-FR" w:eastAsia="fr-FR"/>
        </w:rPr>
        <w:t>----------------------------------------------------------------------------------------------------</w:t>
      </w:r>
      <w:r w:rsidRPr="00AE429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fr-FR" w:eastAsia="fr-FR"/>
        </w:rPr>
        <w:t xml:space="preserve"> </w:t>
      </w:r>
    </w:p>
    <w:p w:rsidR="00BA5D30" w:rsidRDefault="00BA5D30" w:rsidP="00BA5D30">
      <w:pPr>
        <w:jc w:val="center"/>
        <w:rPr>
          <w:b/>
          <w:sz w:val="36"/>
          <w:szCs w:val="36"/>
          <w:lang w:val="fr-FR"/>
        </w:rPr>
      </w:pPr>
      <w:r w:rsidRPr="008B14B7">
        <w:rPr>
          <w:b/>
          <w:sz w:val="36"/>
          <w:szCs w:val="36"/>
          <w:lang w:val="fr-FR"/>
        </w:rPr>
        <w:t>APPEL À LA MANIFESTATION D’INTÉRÊT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A5D30" w:rsidRPr="001D5B08" w:rsidTr="009967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59"/>
              <w:gridCol w:w="7301"/>
            </w:tblGrid>
            <w:tr w:rsidR="00BA5D30" w:rsidRPr="00604747" w:rsidTr="0099671C">
              <w:trPr>
                <w:tblCellSpacing w:w="0" w:type="dxa"/>
              </w:trPr>
              <w:tc>
                <w:tcPr>
                  <w:tcW w:w="1100" w:type="pct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</w:pP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Secteur d'activité :</w:t>
                  </w:r>
                </w:p>
              </w:tc>
              <w:tc>
                <w:tcPr>
                  <w:tcW w:w="3900" w:type="pct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</w:pP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  <w:t>Construction et Rénovation</w:t>
                  </w:r>
                </w:p>
              </w:tc>
            </w:tr>
            <w:tr w:rsidR="00BA5D30" w:rsidRPr="001D5B08" w:rsidTr="0099671C">
              <w:trPr>
                <w:tblCellSpacing w:w="0" w:type="dxa"/>
              </w:trPr>
              <w:tc>
                <w:tcPr>
                  <w:tcW w:w="1100" w:type="pct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</w:pP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Appel d'offre :</w:t>
                  </w:r>
                </w:p>
              </w:tc>
              <w:tc>
                <w:tcPr>
                  <w:tcW w:w="3900" w:type="pct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Réhabilitation 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physique </w:t>
                  </w:r>
                  <w:r w:rsidR="007405C1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du Site TBMDR de l’Hôpital Immaculée Conception des Cayes. </w:t>
                  </w: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br/>
                  </w:r>
                </w:p>
              </w:tc>
            </w:tr>
            <w:tr w:rsidR="00BA5D30" w:rsidRPr="001D5B08" w:rsidTr="0099671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7405C1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>Numéro</w:t>
                  </w:r>
                  <w:r w:rsidR="00357BAF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 xml:space="preserve">      </w:t>
                  </w:r>
                  <w:r w:rsidRPr="007405C1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 xml:space="preserve"> 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7405C1" w:rsidRDefault="007405C1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8"/>
                      <w:szCs w:val="28"/>
                      <w:lang w:val="fr-FR"/>
                    </w:rPr>
                    <w:t>Réhab-HIC-Cayes/ PNLT-8.0/ Octo</w:t>
                  </w:r>
                  <w:r w:rsidR="00BA5D30">
                    <w:rPr>
                      <w:b/>
                      <w:sz w:val="28"/>
                      <w:szCs w:val="28"/>
                      <w:lang w:val="fr-FR"/>
                    </w:rPr>
                    <w:t>bre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2017</w:t>
                  </w:r>
                </w:p>
              </w:tc>
            </w:tr>
            <w:tr w:rsidR="00BA5D30" w:rsidRPr="007405C1" w:rsidTr="0099671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7405C1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 w:rsidRPr="007405C1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>Date Limite 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7405C1" w:rsidRDefault="001F53F8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03/11/2017 à 15</w:t>
                  </w:r>
                  <w:r w:rsidR="00BA5D30" w:rsidRPr="007405C1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:00</w:t>
                  </w:r>
                </w:p>
              </w:tc>
            </w:tr>
            <w:tr w:rsidR="00BA5D30" w:rsidRPr="00604747" w:rsidTr="0099671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>Date de publication de l'offre</w:t>
                  </w:r>
                  <w:r w:rsidR="00357BAF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 xml:space="preserve">           </w:t>
                  </w: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1727A5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  <w:t>20/10</w:t>
                  </w:r>
                  <w:r w:rsidR="001D5B08"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  <w:t>/2017</w:t>
                  </w:r>
                </w:p>
              </w:tc>
            </w:tr>
            <w:tr w:rsidR="00BA5D30" w:rsidRPr="00604747" w:rsidTr="0099671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</w:pP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Pays </w:t>
                  </w:r>
                  <w:r w:rsidR="00554AED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&amp; Zone </w:t>
                  </w:r>
                  <w:r w:rsidR="00C77B8B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d'é</w:t>
                  </w: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xecution 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</w:pP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  <w:t>Haiti</w:t>
                  </w:r>
                  <w:r w:rsidR="0023060E"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  <w:t>/</w:t>
                  </w:r>
                  <w:r w:rsidR="00554AED"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  <w:t>Sud</w:t>
                  </w:r>
                </w:p>
              </w:tc>
            </w:tr>
            <w:tr w:rsidR="00BA5D30" w:rsidRPr="00604747" w:rsidTr="0099671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Adresse</w:t>
                  </w:r>
                  <w:r w:rsidR="00357BAF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BA5D30" w:rsidRPr="00604747" w:rsidTr="0099671C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>Introduction :</w:t>
                  </w:r>
                </w:p>
              </w:tc>
            </w:tr>
            <w:tr w:rsidR="00BA5D30" w:rsidRPr="001D5B08" w:rsidTr="0099671C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 xml:space="preserve">La tuberculose constitue  une grande  préoccupation pour Haiti. 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Dans le cadre du renforcement du Programme National de Lutte co</w:t>
                  </w:r>
                  <w:r w:rsidR="0023060E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ntre la Tuberculose, le Site TBMDR de l’Hôpital Immaculée Conception des Cayes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devra bénéficier de travaux de réhabilitation lui permettant de mieux faire la prise en charge de la tuberculose  selon les norm</w:t>
                  </w:r>
                  <w:r w:rsidR="0023060E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es de contrôle et de prévention de l’infection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. À partir de la subvention du Global Fund, la coordination du PNLT</w:t>
                  </w: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lance un appel d’offre pour l’exécution dudit projet qui consis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te en une réhabilitation physique du site.</w:t>
                  </w:r>
                </w:p>
              </w:tc>
            </w:tr>
            <w:tr w:rsidR="00BA5D30" w:rsidRPr="005247B9" w:rsidTr="0099671C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BA5D30" w:rsidRPr="005247B9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 w:rsidRPr="005247B9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 xml:space="preserve">Description de </w:t>
                  </w:r>
                  <w:r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>Tâ</w:t>
                  </w: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>ches</w:t>
                  </w:r>
                  <w:r w:rsidRPr="005247B9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 xml:space="preserve"> :</w:t>
                  </w:r>
                </w:p>
              </w:tc>
            </w:tr>
            <w:tr w:rsidR="00BA5D30" w:rsidRPr="001D5B08" w:rsidTr="0099671C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Les dimensions des tr</w:t>
                  </w:r>
                  <w:r w:rsidR="006856F3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avaux et salles à réhabiliter ou</w:t>
                  </w: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à renforcer sont données dans les termes de références dans la rubrique"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</w:t>
                  </w:r>
                  <w:r w:rsidRPr="0055714E">
                    <w:rPr>
                      <w:rFonts w:eastAsia="Times New Roman" w:cs="Times New Roman"/>
                      <w:b/>
                      <w:color w:val="333333"/>
                      <w:sz w:val="24"/>
                      <w:szCs w:val="24"/>
                      <w:lang w:val="fr-FR"/>
                    </w:rPr>
                    <w:t>Dossier complet d'appel d'offre</w:t>
                  </w: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".</w:t>
                  </w:r>
                </w:p>
              </w:tc>
            </w:tr>
            <w:tr w:rsidR="00BA5D30" w:rsidRPr="00604747" w:rsidTr="0099671C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CCCCCC"/>
                  </w:tcBorders>
                  <w:hideMark/>
                </w:tcPr>
                <w:p w:rsidR="00BA5D30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</w:pPr>
                </w:p>
                <w:p w:rsidR="00BA5D30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</w:pPr>
                </w:p>
                <w:p w:rsidR="00BA5D30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</w:pP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 xml:space="preserve">Profil de la </w:t>
                  </w:r>
                  <w:r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>firme</w:t>
                  </w: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 xml:space="preserve"> :</w:t>
                  </w:r>
                </w:p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BA5D30" w:rsidRPr="001D5B08" w:rsidTr="0099671C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CCCCCC"/>
                  </w:tcBorders>
                  <w:hideMark/>
                </w:tcPr>
                <w:p w:rsidR="00BA5D30" w:rsidRDefault="0055714E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- Etre une petite ou</w:t>
                  </w:r>
                  <w:r w:rsidR="00BA5D30"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moyenne entreprise ;</w:t>
                  </w:r>
                  <w:r w:rsidR="00BA5D30"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br/>
                    <w:t>- Etre connu</w:t>
                  </w:r>
                  <w:r w:rsidR="00BA5D30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e</w:t>
                  </w:r>
                  <w:r w:rsidR="00BA5D30"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sur le marché dans le domaine d’Infrastructures ;</w:t>
                  </w:r>
                </w:p>
                <w:p w:rsidR="00BA5D30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- </w:t>
                  </w:r>
                  <w:r w:rsidRPr="001134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Etre familier avec les codes et les directives de construction internationale et locale (CNBH, 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BA5D30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  </w:t>
                  </w:r>
                  <w:r w:rsidRPr="0011341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IBC, ASCE7, ASCE41, Eurocode etc.)</w:t>
                  </w:r>
                </w:p>
                <w:p w:rsidR="00BA5D30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- Détenir une patente et quitus fiscal à jour.</w:t>
                  </w:r>
                </w:p>
                <w:p w:rsidR="00BA5D30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-  </w:t>
                  </w:r>
                  <w:r w:rsidRPr="00B52E6D">
                    <w:rPr>
                      <w:sz w:val="24"/>
                      <w:szCs w:val="24"/>
                      <w:lang w:val="fr-FR"/>
                    </w:rPr>
                    <w:t>Avoir une accréditation internationale dans la construction parasismique (souhaitable).</w:t>
                  </w: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br/>
                    <w:t>- Disposer d’un personnel qualifié capable de travailler sous la supervision de l’ingénieur-</w:t>
                  </w:r>
                </w:p>
                <w:p w:rsidR="006300B3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 </w:t>
                  </w: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Consultant pour les travaux de génie civil ;</w:t>
                  </w: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br/>
                    <w:t>- Gérer un compte de financement capable de couvrir la garantie de bonne exécution ;</w:t>
                  </w: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br/>
                    <w:t xml:space="preserve">- Avoir réalisé au moins deux </w:t>
                  </w:r>
                  <w:r w:rsidR="006300B3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(2) </w:t>
                  </w: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travaux similaires avec renseignement </w:t>
                  </w:r>
                  <w:r w:rsidR="006300B3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&amp; certificat de    </w:t>
                  </w:r>
                </w:p>
                <w:p w:rsidR="00BA5D30" w:rsidRPr="00604747" w:rsidRDefault="006300B3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  réception définitive</w:t>
                  </w:r>
                  <w:r w:rsidR="00BA5D30"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;</w:t>
                  </w:r>
                  <w:r w:rsidR="00BA5D30"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br/>
                    <w:t>- Disposer des Matériels/Equipements essentiels pour la réalisation des travaux</w:t>
                  </w:r>
                </w:p>
              </w:tc>
            </w:tr>
            <w:tr w:rsidR="00BA5D30" w:rsidRPr="001D5B08" w:rsidTr="0099671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</w:pP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Envoyer le pli à 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 w:rsidRPr="0003141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C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oordination du PNLT/ MSPP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br/>
                    <w:t>12, Rue Demesvard, Delmas 60</w:t>
                  </w:r>
                  <w:r w:rsidR="00CC788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, </w:t>
                  </w: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Port-au-Prince, Haiti</w:t>
                  </w:r>
                </w:p>
              </w:tc>
            </w:tr>
            <w:tr w:rsidR="00BA5D30" w:rsidRPr="001D5B08" w:rsidTr="0099671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>Remarques 1</w:t>
                  </w: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 xml:space="preserve"> 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7F20E0" w:rsidRDefault="00BA5D30" w:rsidP="004C42A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 w:rsidRPr="004C42A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La visite des li</w:t>
                  </w:r>
                  <w:r w:rsidR="006300B3" w:rsidRPr="004C42A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eux se fera le Vendredi 27 Octobre 2017</w:t>
                  </w:r>
                  <w:r w:rsidRPr="004C42A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à partir de  10h00 AM  </w:t>
                  </w:r>
                  <w:r w:rsidR="005B6CA6">
                    <w:rPr>
                      <w:rFonts w:eastAsia="Times New Roman" w:cs="Times New Roman"/>
                      <w:b/>
                      <w:color w:val="333333"/>
                      <w:sz w:val="24"/>
                      <w:szCs w:val="24"/>
                      <w:lang w:val="fr-FR"/>
                    </w:rPr>
                    <w:t>(Lieu de rencontre : Carrefour Quatre chemi</w:t>
                  </w:r>
                  <w:r w:rsidR="007F20E0">
                    <w:rPr>
                      <w:rFonts w:eastAsia="Times New Roman" w:cs="Times New Roman"/>
                      <w:b/>
                      <w:color w:val="333333"/>
                      <w:sz w:val="24"/>
                      <w:szCs w:val="24"/>
                      <w:lang w:val="fr-FR"/>
                    </w:rPr>
                    <w:t>n</w:t>
                  </w:r>
                  <w:r w:rsidR="005B6CA6">
                    <w:rPr>
                      <w:rFonts w:eastAsia="Times New Roman" w:cs="Times New Roman"/>
                      <w:b/>
                      <w:color w:val="333333"/>
                      <w:sz w:val="24"/>
                      <w:szCs w:val="24"/>
                      <w:lang w:val="fr-FR"/>
                    </w:rPr>
                    <w:t>s</w:t>
                  </w:r>
                  <w:r w:rsidR="007F20E0">
                    <w:rPr>
                      <w:rFonts w:eastAsia="Times New Roman" w:cs="Times New Roman"/>
                      <w:b/>
                      <w:color w:val="333333"/>
                      <w:sz w:val="24"/>
                      <w:szCs w:val="24"/>
                      <w:lang w:val="fr-FR"/>
                    </w:rPr>
                    <w:t>)</w:t>
                  </w:r>
                </w:p>
                <w:p w:rsidR="00BA5D30" w:rsidRPr="004C42A7" w:rsidRDefault="007F20E0" w:rsidP="004C42A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P</w:t>
                  </w:r>
                  <w:r w:rsidRPr="004C42A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our une meilleure planif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ication, i</w:t>
                  </w:r>
                  <w:r w:rsidR="00BA5D30" w:rsidRPr="004C42A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l est demandé à tous les intéressés de confirmer leur participation à cette visite (</w:t>
                  </w:r>
                  <w:r w:rsidR="006300B3" w:rsidRPr="004C42A7">
                    <w:rPr>
                      <w:sz w:val="24"/>
                      <w:szCs w:val="24"/>
                      <w:lang w:val="fr-FR"/>
                    </w:rPr>
                    <w:t>du Lundi 23 au Jeudi 26 Octobre 2017</w:t>
                  </w:r>
                  <w:r w:rsidR="00BA5D30" w:rsidRPr="004C42A7">
                    <w:rPr>
                      <w:sz w:val="24"/>
                      <w:szCs w:val="24"/>
                      <w:lang w:val="fr-FR"/>
                    </w:rPr>
                    <w:t xml:space="preserve"> entre 8h00 AM et 2h00 PM</w:t>
                  </w:r>
                  <w:r w:rsidR="00BA5D30" w:rsidRPr="004C42A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) en envoyant un e-mail à :</w:t>
                  </w:r>
                </w:p>
                <w:p w:rsidR="00BA5D30" w:rsidRDefault="004C42A7" w:rsidP="0099671C">
                  <w:pPr>
                    <w:spacing w:after="0" w:line="240" w:lineRule="auto"/>
                    <w:jc w:val="both"/>
                    <w:rPr>
                      <w:rStyle w:val="Hyperlink"/>
                      <w:rFonts w:eastAsia="Times New Roman" w:cs="Times New Roman"/>
                      <w:sz w:val="24"/>
                      <w:szCs w:val="24"/>
                      <w:lang w:val="fr-FR"/>
                    </w:rPr>
                  </w:pPr>
                  <w:r w:rsidRPr="004C42A7">
                    <w:rPr>
                      <w:lang w:val="fr-FR"/>
                    </w:rPr>
                    <w:t xml:space="preserve">                           </w:t>
                  </w:r>
                  <w:hyperlink r:id="rId8" w:history="1">
                    <w:r w:rsidR="00BA5D30" w:rsidRPr="00AD4BE7">
                      <w:rPr>
                        <w:rStyle w:val="Hyperlink"/>
                        <w:rFonts w:eastAsia="Times New Roman" w:cs="Times New Roman"/>
                        <w:sz w:val="24"/>
                        <w:szCs w:val="24"/>
                        <w:lang w:val="fr-FR"/>
                      </w:rPr>
                      <w:t>gdelva@ohmasshaiti.org</w:t>
                    </w:r>
                  </w:hyperlink>
                  <w:r w:rsidR="00BA5D30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; </w:t>
                  </w:r>
                  <w:hyperlink r:id="rId9" w:history="1">
                    <w:r w:rsidR="006300B3" w:rsidRPr="00714F24">
                      <w:rPr>
                        <w:rStyle w:val="Hyperlink"/>
                        <w:rFonts w:eastAsia="Times New Roman" w:cs="Times New Roman"/>
                        <w:sz w:val="24"/>
                        <w:szCs w:val="24"/>
                        <w:lang w:val="fr-FR"/>
                      </w:rPr>
                      <w:t>willymorose8@gmail.com</w:t>
                    </w:r>
                  </w:hyperlink>
                  <w:r w:rsidR="006300B3">
                    <w:rPr>
                      <w:rFonts w:eastAsia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 w:rsidR="00BA5D30">
                    <w:rPr>
                      <w:rStyle w:val="Hyperlink"/>
                      <w:rFonts w:eastAsia="Times New Roman" w:cs="Times New Roman"/>
                      <w:sz w:val="24"/>
                      <w:szCs w:val="24"/>
                      <w:lang w:val="fr-FR"/>
                    </w:rPr>
                    <w:t xml:space="preserve">    </w:t>
                  </w:r>
                </w:p>
                <w:p w:rsidR="004C42A7" w:rsidRDefault="004C42A7" w:rsidP="0099671C">
                  <w:pPr>
                    <w:spacing w:after="0" w:line="240" w:lineRule="auto"/>
                    <w:jc w:val="both"/>
                    <w:rPr>
                      <w:rStyle w:val="Hyperlink"/>
                      <w:rFonts w:eastAsia="Times New Roman" w:cs="Times New Roman"/>
                      <w:sz w:val="24"/>
                      <w:szCs w:val="24"/>
                      <w:lang w:val="fr-FR"/>
                    </w:rPr>
                  </w:pPr>
                </w:p>
                <w:p w:rsidR="00BA5D30" w:rsidRPr="004C42A7" w:rsidRDefault="00BA5D30" w:rsidP="004C42A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Style w:val="Hyperlink"/>
                      <w:rFonts w:eastAsia="Times New Roman" w:cs="Times New Roman"/>
                      <w:sz w:val="24"/>
                      <w:szCs w:val="24"/>
                      <w:lang w:val="fr-FR"/>
                    </w:rPr>
                  </w:pPr>
                  <w:r w:rsidRPr="004C42A7">
                    <w:rPr>
                      <w:sz w:val="24"/>
                      <w:szCs w:val="24"/>
                      <w:lang w:val="fr-FR"/>
                    </w:rPr>
                    <w:t>Il est vivement conseillé à tous les participants de respecter l’heure de rencontre prévue. En cas de force majeure (mauvais temps, cyclone…), la visite sera reportée</w:t>
                  </w:r>
                  <w:r w:rsidR="006300B3" w:rsidRPr="004C42A7">
                    <w:rPr>
                      <w:sz w:val="24"/>
                      <w:szCs w:val="24"/>
                      <w:lang w:val="fr-FR"/>
                    </w:rPr>
                    <w:t xml:space="preserve"> à une date ultérieure qui leur </w:t>
                  </w:r>
                  <w:r w:rsidRPr="004C42A7">
                    <w:rPr>
                      <w:sz w:val="24"/>
                      <w:szCs w:val="24"/>
                      <w:lang w:val="fr-FR"/>
                    </w:rPr>
                    <w:t>sera communiquée.</w:t>
                  </w:r>
                  <w:r w:rsidRPr="004C42A7">
                    <w:rPr>
                      <w:sz w:val="24"/>
                      <w:szCs w:val="24"/>
                      <w:lang w:val="fr-FR"/>
                    </w:rPr>
                    <w:br/>
                    <w:t xml:space="preserve">Toutes </w:t>
                  </w:r>
                  <w:r w:rsidR="006300B3" w:rsidRPr="004C42A7">
                    <w:rPr>
                      <w:sz w:val="24"/>
                      <w:szCs w:val="24"/>
                      <w:lang w:val="fr-FR"/>
                    </w:rPr>
                    <w:t xml:space="preserve">les </w:t>
                  </w:r>
                  <w:r w:rsidRPr="004C42A7">
                    <w:rPr>
                      <w:sz w:val="24"/>
                      <w:szCs w:val="24"/>
                      <w:lang w:val="fr-FR"/>
                    </w:rPr>
                    <w:t xml:space="preserve">questions </w:t>
                  </w:r>
                  <w:r w:rsidR="006300B3" w:rsidRPr="004C42A7">
                    <w:rPr>
                      <w:sz w:val="24"/>
                      <w:szCs w:val="24"/>
                      <w:lang w:val="fr-FR"/>
                    </w:rPr>
                    <w:t xml:space="preserve">posées sur le site seront </w:t>
                  </w:r>
                  <w:r w:rsidR="00B32810">
                    <w:rPr>
                      <w:sz w:val="24"/>
                      <w:szCs w:val="24"/>
                      <w:lang w:val="fr-FR"/>
                    </w:rPr>
                    <w:t xml:space="preserve"> notées et répondues par e</w:t>
                  </w:r>
                  <w:r w:rsidR="006300B3" w:rsidRPr="004C42A7">
                    <w:rPr>
                      <w:sz w:val="24"/>
                      <w:szCs w:val="24"/>
                      <w:lang w:val="fr-FR"/>
                    </w:rPr>
                    <w:t>-</w:t>
                  </w:r>
                  <w:r w:rsidRPr="004C42A7">
                    <w:rPr>
                      <w:sz w:val="24"/>
                      <w:szCs w:val="24"/>
                      <w:lang w:val="fr-FR"/>
                    </w:rPr>
                    <w:t>mail dans la semaine qui suit la visite.</w:t>
                  </w:r>
                  <w:r w:rsidRPr="004C42A7">
                    <w:rPr>
                      <w:sz w:val="24"/>
                      <w:szCs w:val="24"/>
                      <w:lang w:val="fr-FR"/>
                    </w:rPr>
                    <w:br/>
                    <w:t xml:space="preserve">Le PNLT décline toute responsabilité de transport sur le site et </w:t>
                  </w:r>
                  <w:r w:rsidR="004A3177" w:rsidRPr="004C42A7">
                    <w:rPr>
                      <w:sz w:val="24"/>
                      <w:szCs w:val="24"/>
                      <w:lang w:val="fr-FR"/>
                    </w:rPr>
                    <w:t xml:space="preserve">les </w:t>
                  </w:r>
                  <w:r w:rsidRPr="004C42A7">
                    <w:rPr>
                      <w:sz w:val="24"/>
                      <w:szCs w:val="24"/>
                      <w:lang w:val="fr-FR"/>
                    </w:rPr>
                    <w:t>dépenses éventuelles lors de la visite.</w:t>
                  </w:r>
                </w:p>
                <w:p w:rsidR="004C42A7" w:rsidRDefault="004C42A7" w:rsidP="0099671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</w:p>
                <w:p w:rsidR="004C42A7" w:rsidRDefault="00BA5D30" w:rsidP="0099671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 w:rsidRPr="00282D32">
                    <w:rPr>
                      <w:rFonts w:eastAsia="Times New Roman" w:cs="Times New Roman"/>
                      <w:b/>
                      <w:color w:val="333333"/>
                      <w:sz w:val="24"/>
                      <w:szCs w:val="24"/>
                      <w:lang w:val="fr-FR"/>
                    </w:rPr>
                    <w:t>NB-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Le document complet de l’appel d’offre sera remis </w:t>
                  </w:r>
                  <w:r w:rsidRPr="004C42A7">
                    <w:rPr>
                      <w:rFonts w:eastAsia="Times New Roman" w:cs="Times New Roman"/>
                      <w:b/>
                      <w:color w:val="333333"/>
                      <w:sz w:val="24"/>
                      <w:szCs w:val="24"/>
                      <w:lang w:val="fr-FR"/>
                    </w:rPr>
                    <w:t>uniquement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aux </w:t>
                  </w:r>
                  <w:r w:rsidR="004C42A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BA5D30" w:rsidRPr="00604747" w:rsidRDefault="004C42A7" w:rsidP="0099671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 xml:space="preserve">       </w:t>
                  </w:r>
                  <w:r w:rsidR="00BA5D30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entreprises qui on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t participé à la visite du 27/10</w:t>
                  </w:r>
                  <w:r w:rsidR="00BA5D30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/16.</w:t>
                  </w:r>
                </w:p>
              </w:tc>
            </w:tr>
            <w:tr w:rsidR="00BA5D30" w:rsidRPr="001D5B08" w:rsidTr="0099671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 xml:space="preserve"> Remarques </w:t>
                  </w:r>
                  <w:r w:rsidRPr="001A5A98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 xml:space="preserve">2 </w:t>
                  </w:r>
                  <w:r w:rsidRPr="00604747">
                    <w:rPr>
                      <w:rFonts w:eastAsia="Times New Roman" w:cs="Times New Roman"/>
                      <w:b/>
                      <w:bCs/>
                      <w:color w:val="333333"/>
                      <w:sz w:val="24"/>
                      <w:szCs w:val="24"/>
                      <w:lang w:val="fr-FR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hideMark/>
                </w:tcPr>
                <w:p w:rsidR="00F322FD" w:rsidRDefault="00BA5D30" w:rsidP="0099671C">
                  <w:pPr>
                    <w:spacing w:after="0" w:line="240" w:lineRule="auto"/>
                    <w:rPr>
                      <w:b/>
                      <w:sz w:val="28"/>
                      <w:szCs w:val="28"/>
                      <w:lang w:val="fr-FR"/>
                    </w:rPr>
                  </w:pP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*Les offres seront reçues sous pli cach</w:t>
                  </w:r>
                  <w:r w:rsidR="00F322FD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eté avec le numéro de référence :</w:t>
                  </w:r>
                  <w:r w:rsidR="00F322FD"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      </w:t>
                  </w:r>
                </w:p>
                <w:p w:rsidR="00BA5D30" w:rsidRPr="00604747" w:rsidRDefault="00F322FD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</w:t>
                  </w:r>
                  <w:r w:rsidRPr="00F322F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>Réhab-HIC-Cayes/ PNLT-8.0/ Octobre 2017</w:t>
                  </w:r>
                  <w:r w:rsidR="00BA5D30" w:rsidRPr="00F322F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val="fr-FR"/>
                    </w:rPr>
                    <w:br/>
                  </w:r>
                  <w:r w:rsidR="00BA5D30"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*Aucune offre ne sera acceptée apr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ès l'heure, soit 3h00pm le Vendredi 03 Novembre 2017</w:t>
                  </w:r>
                  <w:r w:rsidR="00BA5D30"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.</w:t>
                  </w:r>
                </w:p>
              </w:tc>
            </w:tr>
            <w:tr w:rsidR="00BA5D30" w:rsidRPr="001D5B08" w:rsidTr="0099671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  <w:r w:rsidRPr="00604747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  <w:t> </w:t>
                  </w:r>
                </w:p>
              </w:tc>
            </w:tr>
            <w:tr w:rsidR="00BA5D30" w:rsidRPr="001D5B08" w:rsidTr="0099671C">
              <w:trPr>
                <w:tblCellSpacing w:w="0" w:type="dxa"/>
              </w:trPr>
              <w:tc>
                <w:tcPr>
                  <w:tcW w:w="0" w:type="auto"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0" w:type="auto"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BA5D30" w:rsidRPr="00604747" w:rsidRDefault="00BA5D30" w:rsidP="0099671C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fr-FR"/>
              </w:rPr>
            </w:pPr>
          </w:p>
        </w:tc>
      </w:tr>
      <w:tr w:rsidR="00BA5D30" w:rsidRPr="001D5B08" w:rsidTr="009967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A5D30" w:rsidRPr="001D5B08" w:rsidTr="009967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5D30" w:rsidRPr="00604747" w:rsidRDefault="00BA5D30" w:rsidP="0099671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BA5D30" w:rsidRPr="00604747" w:rsidRDefault="00BA5D30" w:rsidP="0099671C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fr-FR"/>
              </w:rPr>
            </w:pPr>
          </w:p>
        </w:tc>
      </w:tr>
      <w:tr w:rsidR="00BA5D30" w:rsidRPr="001D5B08" w:rsidTr="009967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A5D30" w:rsidRPr="00604747" w:rsidRDefault="00BA5D30" w:rsidP="0099671C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fr-FR"/>
              </w:rPr>
            </w:pPr>
          </w:p>
        </w:tc>
      </w:tr>
    </w:tbl>
    <w:p w:rsidR="00BA5D30" w:rsidRPr="00604747" w:rsidRDefault="00BA5D30" w:rsidP="00BA5D30">
      <w:pPr>
        <w:jc w:val="center"/>
        <w:rPr>
          <w:rFonts w:cs="Times New Roman"/>
          <w:b/>
          <w:sz w:val="24"/>
          <w:szCs w:val="24"/>
          <w:lang w:val="fr-FR"/>
        </w:rPr>
      </w:pPr>
    </w:p>
    <w:p w:rsidR="00BA5D30" w:rsidRPr="00BB7644" w:rsidRDefault="00BA5D30" w:rsidP="00BA5D30">
      <w:pPr>
        <w:rPr>
          <w:lang w:val="fr-FR"/>
        </w:rPr>
      </w:pPr>
    </w:p>
    <w:p w:rsidR="00525EEB" w:rsidRPr="00F322FD" w:rsidRDefault="00525EEB">
      <w:pPr>
        <w:rPr>
          <w:lang w:val="fr-FR"/>
        </w:rPr>
      </w:pPr>
    </w:p>
    <w:sectPr w:rsidR="00525EEB" w:rsidRPr="00F32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1763B"/>
    <w:multiLevelType w:val="hybridMultilevel"/>
    <w:tmpl w:val="C846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30"/>
    <w:rsid w:val="001727A5"/>
    <w:rsid w:val="001D5B08"/>
    <w:rsid w:val="001F53F8"/>
    <w:rsid w:val="0023060E"/>
    <w:rsid w:val="002D68F1"/>
    <w:rsid w:val="002E5960"/>
    <w:rsid w:val="00357BAF"/>
    <w:rsid w:val="004A3177"/>
    <w:rsid w:val="004C42A7"/>
    <w:rsid w:val="00525EEB"/>
    <w:rsid w:val="00554AED"/>
    <w:rsid w:val="0055714E"/>
    <w:rsid w:val="005B6CA6"/>
    <w:rsid w:val="006300B3"/>
    <w:rsid w:val="006856F3"/>
    <w:rsid w:val="007405C1"/>
    <w:rsid w:val="007F20E0"/>
    <w:rsid w:val="00AA569E"/>
    <w:rsid w:val="00B32810"/>
    <w:rsid w:val="00BA5D30"/>
    <w:rsid w:val="00C77B8B"/>
    <w:rsid w:val="00CC7887"/>
    <w:rsid w:val="00F3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D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D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lva@ohmasshaiti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llymorose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Gelin Delva</dc:creator>
  <cp:lastModifiedBy>Gelin Delva</cp:lastModifiedBy>
  <cp:revision>22</cp:revision>
  <cp:lastPrinted>2017-10-20T15:15:00Z</cp:lastPrinted>
  <dcterms:created xsi:type="dcterms:W3CDTF">2017-10-20T03:50:00Z</dcterms:created>
  <dcterms:modified xsi:type="dcterms:W3CDTF">2017-10-20T15:15:00Z</dcterms:modified>
</cp:coreProperties>
</file>