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864BE" w14:textId="77777777" w:rsidR="00642958" w:rsidRPr="00356D0A" w:rsidRDefault="00642958" w:rsidP="0004337E">
      <w:pPr>
        <w:pStyle w:val="Heading1"/>
        <w:jc w:val="center"/>
        <w:rPr>
          <w:sz w:val="22"/>
          <w:szCs w:val="22"/>
          <w:lang w:val="fr-FR"/>
        </w:rPr>
      </w:pPr>
      <w:bookmarkStart w:id="0" w:name="_GoBack"/>
    </w:p>
    <w:bookmarkEnd w:id="0"/>
    <w:p w14:paraId="79D330D5" w14:textId="652D4B3C" w:rsidR="00DD456C" w:rsidRPr="00356D0A" w:rsidRDefault="0004337E" w:rsidP="0004337E">
      <w:pPr>
        <w:pStyle w:val="Heading1"/>
        <w:jc w:val="center"/>
        <w:rPr>
          <w:lang w:val="fr-FR"/>
        </w:rPr>
      </w:pPr>
      <w:r w:rsidRPr="00356D0A">
        <w:rPr>
          <w:b/>
          <w:lang w:val="fr-FR"/>
        </w:rPr>
        <w:t>Concern Worldwide – Haiti, Port-au-Prince</w:t>
      </w:r>
    </w:p>
    <w:p w14:paraId="36054C39" w14:textId="4BB3477A" w:rsidR="0004337E" w:rsidRPr="00356D0A" w:rsidRDefault="00357E0C" w:rsidP="0004337E">
      <w:pPr>
        <w:pStyle w:val="Heading1"/>
        <w:jc w:val="center"/>
        <w:rPr>
          <w:lang w:val="fr-FR"/>
        </w:rPr>
      </w:pPr>
      <w:r>
        <w:rPr>
          <w:lang w:val="fr-FR"/>
        </w:rPr>
        <w:t>Transfert de fonds pour les bénéficiaires du volet Livelihoods de Cite Soleil</w:t>
      </w:r>
    </w:p>
    <w:p w14:paraId="20B9BF0D" w14:textId="434468C7" w:rsidR="00576188" w:rsidRPr="00356D0A" w:rsidRDefault="00357E0C" w:rsidP="00576188">
      <w:pPr>
        <w:jc w:val="center"/>
        <w:rPr>
          <w:rFonts w:asciiTheme="majorHAnsi" w:hAnsiTheme="majorHAnsi"/>
          <w:sz w:val="32"/>
          <w:szCs w:val="32"/>
          <w:lang w:val="fr-FR"/>
        </w:rPr>
      </w:pPr>
      <w:r>
        <w:rPr>
          <w:rFonts w:asciiTheme="majorHAnsi" w:hAnsiTheme="majorHAnsi"/>
          <w:sz w:val="32"/>
          <w:szCs w:val="32"/>
          <w:lang w:val="fr-FR"/>
        </w:rPr>
        <w:t>Aout</w:t>
      </w:r>
      <w:r w:rsidR="00576188" w:rsidRPr="00356D0A">
        <w:rPr>
          <w:rFonts w:asciiTheme="majorHAnsi" w:hAnsiTheme="majorHAnsi"/>
          <w:sz w:val="32"/>
          <w:szCs w:val="32"/>
          <w:lang w:val="fr-FR"/>
        </w:rPr>
        <w:t xml:space="preserve"> 2017</w:t>
      </w:r>
    </w:p>
    <w:p w14:paraId="49CD93B8" w14:textId="77777777" w:rsidR="00576188" w:rsidRPr="00356D0A" w:rsidRDefault="00576188" w:rsidP="00576188">
      <w:pPr>
        <w:rPr>
          <w:rFonts w:asciiTheme="majorHAnsi" w:hAnsiTheme="majorHAnsi"/>
          <w:lang w:val="fr-FR"/>
        </w:rPr>
      </w:pPr>
    </w:p>
    <w:p w14:paraId="0449EF77" w14:textId="77777777" w:rsidR="0004337E" w:rsidRPr="00356D0A" w:rsidRDefault="0004337E" w:rsidP="0004337E">
      <w:pPr>
        <w:rPr>
          <w:rFonts w:asciiTheme="majorHAnsi" w:hAnsiTheme="majorHAnsi"/>
          <w:lang w:val="fr-FR"/>
        </w:rPr>
      </w:pPr>
    </w:p>
    <w:p w14:paraId="5628AD9F" w14:textId="77777777" w:rsidR="00576188" w:rsidRPr="00356D0A" w:rsidRDefault="00576188" w:rsidP="00C02CE1">
      <w:pPr>
        <w:pStyle w:val="ListParagraph"/>
        <w:numPr>
          <w:ilvl w:val="0"/>
          <w:numId w:val="1"/>
        </w:numPr>
        <w:rPr>
          <w:rFonts w:asciiTheme="majorHAnsi" w:hAnsiTheme="majorHAnsi"/>
          <w:sz w:val="28"/>
          <w:szCs w:val="28"/>
        </w:rPr>
      </w:pPr>
      <w:proofErr w:type="spellStart"/>
      <w:r w:rsidRPr="00356D0A">
        <w:rPr>
          <w:rFonts w:asciiTheme="majorHAnsi" w:hAnsiTheme="majorHAnsi"/>
          <w:b/>
          <w:sz w:val="28"/>
          <w:szCs w:val="28"/>
        </w:rPr>
        <w:t>Contexte</w:t>
      </w:r>
      <w:proofErr w:type="spellEnd"/>
      <w:r w:rsidRPr="00356D0A">
        <w:rPr>
          <w:rFonts w:asciiTheme="majorHAnsi" w:hAnsiTheme="majorHAnsi"/>
          <w:b/>
          <w:sz w:val="28"/>
          <w:szCs w:val="28"/>
        </w:rPr>
        <w:t xml:space="preserve"> et justification</w:t>
      </w:r>
    </w:p>
    <w:p w14:paraId="6253B4E8" w14:textId="29FF38C2" w:rsidR="00576188" w:rsidRPr="00356D0A" w:rsidRDefault="00576188" w:rsidP="00576188">
      <w:pPr>
        <w:autoSpaceDE w:val="0"/>
        <w:autoSpaceDN w:val="0"/>
        <w:adjustRightInd w:val="0"/>
        <w:spacing w:after="0" w:line="240" w:lineRule="auto"/>
        <w:ind w:left="360"/>
        <w:jc w:val="both"/>
        <w:rPr>
          <w:rFonts w:asciiTheme="majorHAnsi" w:eastAsia="Times New Roman" w:hAnsiTheme="majorHAnsi" w:cs="Arial"/>
          <w:lang w:val="fr-FR"/>
        </w:rPr>
      </w:pPr>
      <w:r w:rsidRPr="00356D0A">
        <w:rPr>
          <w:rFonts w:asciiTheme="majorHAnsi" w:eastAsia="Times New Roman" w:hAnsiTheme="majorHAnsi" w:cs="Arial"/>
          <w:b/>
          <w:lang w:val="fr-FR"/>
        </w:rPr>
        <w:t>CONCERN Worldwide</w:t>
      </w:r>
      <w:r w:rsidRPr="00356D0A">
        <w:rPr>
          <w:rFonts w:asciiTheme="majorHAnsi" w:eastAsia="Times New Roman" w:hAnsiTheme="majorHAnsi" w:cs="Arial"/>
          <w:lang w:val="fr-FR"/>
        </w:rPr>
        <w:t xml:space="preserve"> est une organisation humanitaire </w:t>
      </w:r>
      <w:r w:rsidR="007A0A24">
        <w:rPr>
          <w:rFonts w:asciiTheme="majorHAnsi" w:eastAsia="Times New Roman" w:hAnsiTheme="majorHAnsi" w:cs="Arial"/>
          <w:lang w:val="fr-FR"/>
        </w:rPr>
        <w:t>non gouvernementale</w:t>
      </w:r>
      <w:r w:rsidRPr="00356D0A">
        <w:rPr>
          <w:rFonts w:asciiTheme="majorHAnsi" w:eastAsia="Times New Roman" w:hAnsiTheme="majorHAnsi" w:cs="Arial"/>
          <w:lang w:val="fr-FR"/>
        </w:rPr>
        <w:t xml:space="preserve"> internationale dédiée à la réduction et à l'élimination de l'extrême pauvreté dans les pays les plus pauvres du monde. Sa mission est d'aider les personnes vivant dans l'extrême pauvreté à réaliser dans leurs vies des améliorations majeures et durables qui se perpétuent sa</w:t>
      </w:r>
      <w:r w:rsidR="00011223">
        <w:rPr>
          <w:rFonts w:asciiTheme="majorHAnsi" w:eastAsia="Times New Roman" w:hAnsiTheme="majorHAnsi" w:cs="Arial"/>
          <w:lang w:val="fr-FR"/>
        </w:rPr>
        <w:t>ns un soutien continu de Concern</w:t>
      </w:r>
      <w:r w:rsidRPr="00356D0A">
        <w:rPr>
          <w:rFonts w:asciiTheme="majorHAnsi" w:eastAsia="Times New Roman" w:hAnsiTheme="majorHAnsi" w:cs="Arial"/>
          <w:lang w:val="fr-FR"/>
        </w:rPr>
        <w:t>. Pour ce faire, nous nous engageons dans des travaux de développement à long terme, répondons à des situations d'</w:t>
      </w:r>
      <w:r w:rsidR="00011223">
        <w:rPr>
          <w:rFonts w:asciiTheme="majorHAnsi" w:eastAsia="Times New Roman" w:hAnsiTheme="majorHAnsi" w:cs="Arial"/>
          <w:lang w:val="fr-FR"/>
        </w:rPr>
        <w:t>urgence et cherchons à répondre aux</w:t>
      </w:r>
      <w:r w:rsidRPr="00356D0A">
        <w:rPr>
          <w:rFonts w:asciiTheme="majorHAnsi" w:eastAsia="Times New Roman" w:hAnsiTheme="majorHAnsi" w:cs="Arial"/>
          <w:lang w:val="fr-FR"/>
        </w:rPr>
        <w:t xml:space="preserve"> causes profondes de la pauvreté grâce à notre éducation au développement et à nos activités de plaidoyer. </w:t>
      </w:r>
      <w:r w:rsidRPr="00356D0A">
        <w:rPr>
          <w:rFonts w:asciiTheme="majorHAnsi" w:eastAsia="Calibri" w:hAnsiTheme="majorHAnsi" w:cs="Arial"/>
          <w:color w:val="000000"/>
          <w:lang w:val="fr-FR"/>
        </w:rPr>
        <w:t>En Haïti</w:t>
      </w:r>
      <w:r w:rsidR="00011223">
        <w:rPr>
          <w:rFonts w:asciiTheme="majorHAnsi" w:eastAsia="Calibri" w:hAnsiTheme="majorHAnsi" w:cs="Arial"/>
          <w:color w:val="000000"/>
          <w:lang w:val="fr-FR"/>
        </w:rPr>
        <w:t>, l’organisation intervient à</w:t>
      </w:r>
      <w:r w:rsidRPr="00356D0A">
        <w:rPr>
          <w:rFonts w:asciiTheme="majorHAnsi" w:eastAsia="Calibri" w:hAnsiTheme="majorHAnsi" w:cs="Arial"/>
          <w:color w:val="000000"/>
          <w:lang w:val="fr-FR"/>
        </w:rPr>
        <w:t xml:space="preserve"> Cité </w:t>
      </w:r>
      <w:r w:rsidR="00A37F13">
        <w:rPr>
          <w:rFonts w:asciiTheme="majorHAnsi" w:eastAsia="Calibri" w:hAnsiTheme="majorHAnsi" w:cs="Arial"/>
          <w:color w:val="000000"/>
          <w:lang w:val="fr-FR"/>
        </w:rPr>
        <w:t>S</w:t>
      </w:r>
      <w:r w:rsidRPr="00356D0A">
        <w:rPr>
          <w:rFonts w:asciiTheme="majorHAnsi" w:eastAsia="Calibri" w:hAnsiTheme="majorHAnsi" w:cs="Arial"/>
          <w:color w:val="000000"/>
          <w:lang w:val="fr-FR"/>
        </w:rPr>
        <w:t xml:space="preserve">oleil, l’une des communes les plus pauvres de la </w:t>
      </w:r>
      <w:r w:rsidR="00A37F13">
        <w:rPr>
          <w:rFonts w:asciiTheme="majorHAnsi" w:eastAsia="Calibri" w:hAnsiTheme="majorHAnsi" w:cs="Arial"/>
          <w:color w:val="000000"/>
          <w:lang w:val="fr-FR"/>
        </w:rPr>
        <w:t>zone</w:t>
      </w:r>
      <w:r w:rsidR="00A37F13" w:rsidRPr="00356D0A">
        <w:rPr>
          <w:rFonts w:asciiTheme="majorHAnsi" w:eastAsia="Calibri" w:hAnsiTheme="majorHAnsi" w:cs="Arial"/>
          <w:color w:val="000000"/>
          <w:lang w:val="fr-FR"/>
        </w:rPr>
        <w:t xml:space="preserve"> </w:t>
      </w:r>
      <w:r w:rsidRPr="00356D0A">
        <w:rPr>
          <w:rFonts w:asciiTheme="majorHAnsi" w:eastAsia="Calibri" w:hAnsiTheme="majorHAnsi" w:cs="Arial"/>
          <w:color w:val="000000"/>
          <w:lang w:val="fr-FR"/>
        </w:rPr>
        <w:t xml:space="preserve">métropolitaine.  </w:t>
      </w:r>
    </w:p>
    <w:p w14:paraId="405018E6" w14:textId="77777777" w:rsidR="00576188" w:rsidRPr="00356D0A" w:rsidRDefault="00576188" w:rsidP="00576188">
      <w:pPr>
        <w:pStyle w:val="ListParagraph"/>
        <w:autoSpaceDE w:val="0"/>
        <w:autoSpaceDN w:val="0"/>
        <w:adjustRightInd w:val="0"/>
        <w:spacing w:after="0" w:line="240" w:lineRule="auto"/>
        <w:jc w:val="both"/>
        <w:rPr>
          <w:rFonts w:asciiTheme="majorHAnsi" w:eastAsia="Times New Roman" w:hAnsiTheme="majorHAnsi" w:cs="Arial"/>
          <w:lang w:val="fr-FR"/>
        </w:rPr>
      </w:pPr>
    </w:p>
    <w:p w14:paraId="5BD8099E" w14:textId="5CEEED70" w:rsidR="00576188" w:rsidRPr="00356D0A" w:rsidRDefault="00576188" w:rsidP="00576188">
      <w:pPr>
        <w:autoSpaceDE w:val="0"/>
        <w:autoSpaceDN w:val="0"/>
        <w:adjustRightInd w:val="0"/>
        <w:spacing w:after="0" w:line="240" w:lineRule="auto"/>
        <w:ind w:left="360"/>
        <w:jc w:val="both"/>
        <w:rPr>
          <w:rFonts w:asciiTheme="majorHAnsi" w:eastAsia="Calibri" w:hAnsiTheme="majorHAnsi" w:cs="Arial"/>
          <w:color w:val="000000"/>
          <w:lang w:val="fr-FR"/>
        </w:rPr>
      </w:pPr>
      <w:r w:rsidRPr="00356D0A">
        <w:rPr>
          <w:rFonts w:asciiTheme="majorHAnsi" w:eastAsia="Calibri" w:hAnsiTheme="majorHAnsi" w:cs="Arial"/>
          <w:color w:val="000000"/>
          <w:lang w:val="fr-FR"/>
        </w:rPr>
        <w:t xml:space="preserve">Géographiquement, la commune de Cité Soleil s’étend sur une surface de 21,81 km2, incluant la zone de Sarthe, de Duvivier, Terre Noire etc. L’ensemble des quartiers de la commune sont répartis sur deux sections communales: </w:t>
      </w:r>
      <w:proofErr w:type="spellStart"/>
      <w:r w:rsidRPr="00356D0A">
        <w:rPr>
          <w:rFonts w:asciiTheme="majorHAnsi" w:eastAsia="Calibri" w:hAnsiTheme="majorHAnsi" w:cs="Arial"/>
          <w:color w:val="000000"/>
          <w:lang w:val="fr-FR"/>
        </w:rPr>
        <w:t>Varreux</w:t>
      </w:r>
      <w:proofErr w:type="spellEnd"/>
      <w:r w:rsidRPr="00356D0A">
        <w:rPr>
          <w:rFonts w:asciiTheme="majorHAnsi" w:eastAsia="Calibri" w:hAnsiTheme="majorHAnsi" w:cs="Arial"/>
          <w:color w:val="000000"/>
          <w:lang w:val="fr-FR"/>
        </w:rPr>
        <w:t xml:space="preserve"> 1 et </w:t>
      </w:r>
      <w:proofErr w:type="spellStart"/>
      <w:r w:rsidRPr="00356D0A">
        <w:rPr>
          <w:rFonts w:asciiTheme="majorHAnsi" w:eastAsia="Calibri" w:hAnsiTheme="majorHAnsi" w:cs="Arial"/>
          <w:color w:val="000000"/>
          <w:lang w:val="fr-FR"/>
        </w:rPr>
        <w:t>Varreux</w:t>
      </w:r>
      <w:proofErr w:type="spellEnd"/>
      <w:r w:rsidR="007A0A24">
        <w:rPr>
          <w:rFonts w:asciiTheme="majorHAnsi" w:eastAsia="Calibri" w:hAnsiTheme="majorHAnsi" w:cs="Arial"/>
          <w:color w:val="000000"/>
          <w:lang w:val="fr-FR"/>
        </w:rPr>
        <w:t xml:space="preserve"> 2. Cependant, Cité Soleil est </w:t>
      </w:r>
      <w:r w:rsidRPr="00356D0A">
        <w:rPr>
          <w:rFonts w:asciiTheme="majorHAnsi" w:eastAsia="Calibri" w:hAnsiTheme="majorHAnsi" w:cs="Arial"/>
          <w:color w:val="000000"/>
          <w:lang w:val="fr-FR"/>
        </w:rPr>
        <w:t>généralement plus connue par sa petite surface de 5 km2 qui constitue essentiellement l’espace bidonvillisé; c’est aussi cette petite portion de la commune qui est la plus problématique</w:t>
      </w:r>
      <w:r w:rsidR="00011223">
        <w:rPr>
          <w:rFonts w:asciiTheme="majorHAnsi" w:eastAsia="Calibri" w:hAnsiTheme="majorHAnsi" w:cs="Arial"/>
          <w:color w:val="000000"/>
          <w:lang w:val="fr-FR"/>
        </w:rPr>
        <w:t xml:space="preserve"> en termes de développement et de risques de criminalité</w:t>
      </w:r>
      <w:r w:rsidRPr="00356D0A">
        <w:rPr>
          <w:rFonts w:asciiTheme="majorHAnsi" w:eastAsia="Calibri" w:hAnsiTheme="majorHAnsi" w:cs="Arial"/>
          <w:color w:val="000000"/>
          <w:lang w:val="fr-FR"/>
        </w:rPr>
        <w:t>.</w:t>
      </w:r>
    </w:p>
    <w:p w14:paraId="09F5D8FB" w14:textId="77777777" w:rsidR="00576188" w:rsidRPr="00356D0A" w:rsidRDefault="00576188" w:rsidP="00576188">
      <w:pPr>
        <w:autoSpaceDE w:val="0"/>
        <w:autoSpaceDN w:val="0"/>
        <w:adjustRightInd w:val="0"/>
        <w:spacing w:after="0" w:line="240" w:lineRule="auto"/>
        <w:jc w:val="both"/>
        <w:rPr>
          <w:rFonts w:asciiTheme="majorHAnsi" w:eastAsia="Calibri" w:hAnsiTheme="majorHAnsi" w:cs="Arial"/>
          <w:color w:val="000000"/>
          <w:lang w:val="fr-FR"/>
        </w:rPr>
      </w:pPr>
    </w:p>
    <w:p w14:paraId="3791BBD9" w14:textId="5F2E2282" w:rsidR="00576188" w:rsidRPr="00356D0A" w:rsidRDefault="00576188" w:rsidP="00576188">
      <w:pPr>
        <w:autoSpaceDE w:val="0"/>
        <w:autoSpaceDN w:val="0"/>
        <w:adjustRightInd w:val="0"/>
        <w:spacing w:after="0" w:line="240" w:lineRule="auto"/>
        <w:ind w:left="360"/>
        <w:jc w:val="both"/>
        <w:rPr>
          <w:rFonts w:asciiTheme="majorHAnsi" w:eastAsia="Calibri" w:hAnsiTheme="majorHAnsi" w:cs="Arial"/>
          <w:color w:val="000000"/>
          <w:lang w:val="fr-FR"/>
        </w:rPr>
      </w:pPr>
      <w:r w:rsidRPr="00356D0A">
        <w:rPr>
          <w:rFonts w:asciiTheme="majorHAnsi" w:eastAsia="Calibri" w:hAnsiTheme="majorHAnsi" w:cs="Arial"/>
          <w:color w:val="000000"/>
          <w:lang w:val="fr-FR"/>
        </w:rPr>
        <w:t xml:space="preserve">Concern Worldwide effectue des interventions dans le cadre de son </w:t>
      </w:r>
      <w:r w:rsidRPr="00356D0A">
        <w:rPr>
          <w:rFonts w:asciiTheme="majorHAnsi" w:eastAsia="Calibri" w:hAnsiTheme="majorHAnsi" w:cs="Arial"/>
          <w:bCs/>
          <w:color w:val="000000"/>
          <w:lang w:val="fr-FR"/>
        </w:rPr>
        <w:t xml:space="preserve">Programme intégré de résilience communautaire et de prévention des conflits dans la commune de Cité Soleil intitulé: </w:t>
      </w:r>
      <w:r w:rsidR="00F51AAF" w:rsidRPr="00F51AAF">
        <w:rPr>
          <w:rFonts w:eastAsia="Times New Roman" w:cs="Courier New"/>
          <w:i/>
          <w:color w:val="212121"/>
          <w:lang w:val="fr-FR"/>
        </w:rPr>
        <w:t>«Bâtir l'espoir et développer les opportunités en Haïti: Un Programme Urbain Intégré orienté vers la Résilience Communautaire et la Mitigation des Conflits à Port-au-Prince, en Haïti »</w:t>
      </w:r>
      <w:r w:rsidR="00F51AAF">
        <w:rPr>
          <w:rFonts w:eastAsia="Times New Roman" w:cs="Courier New"/>
          <w:i/>
          <w:color w:val="212121"/>
          <w:lang w:val="fr-FR"/>
        </w:rPr>
        <w:t xml:space="preserve">. </w:t>
      </w:r>
      <w:r w:rsidRPr="00356D0A">
        <w:rPr>
          <w:rFonts w:asciiTheme="majorHAnsi" w:eastAsia="Calibri" w:hAnsiTheme="majorHAnsi" w:cs="Arial"/>
          <w:color w:val="000000"/>
          <w:lang w:val="fr-FR"/>
        </w:rPr>
        <w:t xml:space="preserve">Le programme est financé par Irish </w:t>
      </w:r>
      <w:proofErr w:type="spellStart"/>
      <w:r w:rsidRPr="00356D0A">
        <w:rPr>
          <w:rFonts w:asciiTheme="majorHAnsi" w:eastAsia="Calibri" w:hAnsiTheme="majorHAnsi" w:cs="Arial"/>
          <w:color w:val="000000"/>
          <w:lang w:val="fr-FR"/>
        </w:rPr>
        <w:t>Aid</w:t>
      </w:r>
      <w:proofErr w:type="spellEnd"/>
      <w:r w:rsidRPr="00356D0A">
        <w:rPr>
          <w:rFonts w:asciiTheme="majorHAnsi" w:eastAsia="Calibri" w:hAnsiTheme="majorHAnsi" w:cs="Arial"/>
          <w:color w:val="000000"/>
          <w:lang w:val="fr-FR"/>
        </w:rPr>
        <w:t xml:space="preserve"> et exécuté dans 8 (huit) quartiers, </w:t>
      </w:r>
      <w:r w:rsidR="000676E4" w:rsidRPr="00356D0A">
        <w:rPr>
          <w:rFonts w:asciiTheme="majorHAnsi" w:eastAsia="Calibri" w:hAnsiTheme="majorHAnsi" w:cs="Arial"/>
          <w:color w:val="000000"/>
          <w:lang w:val="fr-FR"/>
        </w:rPr>
        <w:t>dont 5 dans la zone urbaine de Cite Soleil</w:t>
      </w:r>
      <w:r w:rsidRPr="00356D0A">
        <w:rPr>
          <w:rFonts w:asciiTheme="majorHAnsi" w:eastAsia="Calibri" w:hAnsiTheme="majorHAnsi" w:cs="Arial"/>
          <w:color w:val="000000"/>
          <w:lang w:val="fr-FR"/>
        </w:rPr>
        <w:t>:</w:t>
      </w:r>
      <w:r w:rsidR="000676E4" w:rsidRPr="00356D0A">
        <w:rPr>
          <w:rFonts w:asciiTheme="majorHAnsi" w:eastAsia="Calibri" w:hAnsiTheme="majorHAnsi" w:cs="Arial"/>
          <w:color w:val="000000"/>
          <w:lang w:val="fr-FR"/>
        </w:rPr>
        <w:t xml:space="preserve"> Bois Neuf</w:t>
      </w:r>
      <w:r w:rsidR="00011223">
        <w:rPr>
          <w:rFonts w:asciiTheme="majorHAnsi" w:eastAsia="Calibri" w:hAnsiTheme="majorHAnsi" w:cs="Arial"/>
          <w:color w:val="000000"/>
          <w:lang w:val="fr-FR"/>
        </w:rPr>
        <w:t xml:space="preserve">, Cite </w:t>
      </w:r>
      <w:proofErr w:type="spellStart"/>
      <w:r w:rsidR="00011223">
        <w:rPr>
          <w:rFonts w:asciiTheme="majorHAnsi" w:eastAsia="Calibri" w:hAnsiTheme="majorHAnsi" w:cs="Arial"/>
          <w:color w:val="000000"/>
          <w:lang w:val="fr-FR"/>
        </w:rPr>
        <w:t>Gerard</w:t>
      </w:r>
      <w:proofErr w:type="spellEnd"/>
      <w:r w:rsidR="00011223">
        <w:rPr>
          <w:rFonts w:asciiTheme="majorHAnsi" w:eastAsia="Calibri" w:hAnsiTheme="majorHAnsi" w:cs="Arial"/>
          <w:color w:val="000000"/>
          <w:lang w:val="fr-FR"/>
        </w:rPr>
        <w:t xml:space="preserve">, Ti Ayiti, Cite </w:t>
      </w:r>
      <w:proofErr w:type="spellStart"/>
      <w:r w:rsidR="00011223">
        <w:rPr>
          <w:rFonts w:asciiTheme="majorHAnsi" w:eastAsia="Calibri" w:hAnsiTheme="majorHAnsi" w:cs="Arial"/>
          <w:color w:val="000000"/>
          <w:lang w:val="fr-FR"/>
        </w:rPr>
        <w:t>Lu</w:t>
      </w:r>
      <w:r w:rsidR="000676E4" w:rsidRPr="00356D0A">
        <w:rPr>
          <w:rFonts w:asciiTheme="majorHAnsi" w:eastAsia="Calibri" w:hAnsiTheme="majorHAnsi" w:cs="Arial"/>
          <w:color w:val="000000"/>
          <w:lang w:val="fr-FR"/>
        </w:rPr>
        <w:t>miere</w:t>
      </w:r>
      <w:proofErr w:type="spellEnd"/>
      <w:r w:rsidR="000676E4" w:rsidRPr="00356D0A">
        <w:rPr>
          <w:rFonts w:asciiTheme="majorHAnsi" w:eastAsia="Calibri" w:hAnsiTheme="majorHAnsi" w:cs="Arial"/>
          <w:color w:val="000000"/>
          <w:lang w:val="fr-FR"/>
        </w:rPr>
        <w:t xml:space="preserve"> et Projet </w:t>
      </w:r>
      <w:proofErr w:type="spellStart"/>
      <w:r w:rsidR="000676E4" w:rsidRPr="00356D0A">
        <w:rPr>
          <w:rFonts w:asciiTheme="majorHAnsi" w:eastAsia="Calibri" w:hAnsiTheme="majorHAnsi" w:cs="Arial"/>
          <w:color w:val="000000"/>
          <w:lang w:val="fr-FR"/>
        </w:rPr>
        <w:t>Drouillard</w:t>
      </w:r>
      <w:proofErr w:type="spellEnd"/>
      <w:r w:rsidR="000676E4" w:rsidRPr="00356D0A">
        <w:rPr>
          <w:rFonts w:asciiTheme="majorHAnsi" w:eastAsia="Calibri" w:hAnsiTheme="majorHAnsi" w:cs="Arial"/>
          <w:color w:val="000000"/>
          <w:lang w:val="fr-FR"/>
        </w:rPr>
        <w:t xml:space="preserve"> et 3 dans la zone </w:t>
      </w:r>
      <w:proofErr w:type="spellStart"/>
      <w:r w:rsidR="000676E4" w:rsidRPr="00356D0A">
        <w:rPr>
          <w:rFonts w:asciiTheme="majorHAnsi" w:eastAsia="Calibri" w:hAnsiTheme="majorHAnsi" w:cs="Arial"/>
          <w:color w:val="000000"/>
          <w:lang w:val="fr-FR"/>
        </w:rPr>
        <w:t>peri-urbaine</w:t>
      </w:r>
      <w:proofErr w:type="spellEnd"/>
      <w:r w:rsidR="000676E4" w:rsidRPr="00356D0A">
        <w:rPr>
          <w:rFonts w:asciiTheme="majorHAnsi" w:eastAsia="Calibri" w:hAnsiTheme="majorHAnsi" w:cs="Arial"/>
          <w:color w:val="000000"/>
          <w:lang w:val="fr-FR"/>
        </w:rPr>
        <w:t xml:space="preserve"> : Duvivier, Village Rapatrie et </w:t>
      </w:r>
      <w:proofErr w:type="spellStart"/>
      <w:r w:rsidR="000676E4" w:rsidRPr="00356D0A">
        <w:rPr>
          <w:rFonts w:asciiTheme="majorHAnsi" w:eastAsia="Calibri" w:hAnsiTheme="majorHAnsi" w:cs="Arial"/>
          <w:color w:val="000000"/>
          <w:lang w:val="fr-FR"/>
        </w:rPr>
        <w:t>T</w:t>
      </w:r>
      <w:r w:rsidR="00011223">
        <w:rPr>
          <w:rFonts w:asciiTheme="majorHAnsi" w:eastAsia="Calibri" w:hAnsiTheme="majorHAnsi" w:cs="Arial"/>
          <w:color w:val="000000"/>
          <w:lang w:val="fr-FR"/>
        </w:rPr>
        <w:t>rui</w:t>
      </w:r>
      <w:r w:rsidR="000676E4" w:rsidRPr="00356D0A">
        <w:rPr>
          <w:rFonts w:asciiTheme="majorHAnsi" w:eastAsia="Calibri" w:hAnsiTheme="majorHAnsi" w:cs="Arial"/>
          <w:color w:val="000000"/>
          <w:lang w:val="fr-FR"/>
        </w:rPr>
        <w:t>tier</w:t>
      </w:r>
      <w:proofErr w:type="spellEnd"/>
      <w:r w:rsidRPr="00356D0A">
        <w:rPr>
          <w:rFonts w:asciiTheme="majorHAnsi" w:eastAsia="Calibri" w:hAnsiTheme="majorHAnsi" w:cs="Arial"/>
          <w:color w:val="000000"/>
          <w:lang w:val="fr-FR"/>
        </w:rPr>
        <w:t xml:space="preserve">. </w:t>
      </w:r>
      <w:r w:rsidR="00AE331E" w:rsidRPr="00356D0A">
        <w:rPr>
          <w:rFonts w:asciiTheme="majorHAnsi" w:eastAsia="Calibri" w:hAnsiTheme="majorHAnsi" w:cs="Arial"/>
          <w:color w:val="000000"/>
          <w:lang w:val="fr-FR"/>
        </w:rPr>
        <w:t>Le programme intervient</w:t>
      </w:r>
      <w:r w:rsidRPr="00356D0A">
        <w:rPr>
          <w:rFonts w:asciiTheme="majorHAnsi" w:eastAsia="Calibri" w:hAnsiTheme="majorHAnsi" w:cs="Arial"/>
          <w:color w:val="000000"/>
          <w:lang w:val="fr-FR"/>
        </w:rPr>
        <w:t xml:space="preserve"> dans le</w:t>
      </w:r>
      <w:r w:rsidR="00AE331E" w:rsidRPr="00356D0A">
        <w:rPr>
          <w:rFonts w:asciiTheme="majorHAnsi" w:eastAsia="Calibri" w:hAnsiTheme="majorHAnsi" w:cs="Arial"/>
          <w:color w:val="000000"/>
          <w:lang w:val="fr-FR"/>
        </w:rPr>
        <w:t>s</w:t>
      </w:r>
      <w:r w:rsidRPr="00356D0A">
        <w:rPr>
          <w:rFonts w:asciiTheme="majorHAnsi" w:eastAsia="Calibri" w:hAnsiTheme="majorHAnsi" w:cs="Arial"/>
          <w:color w:val="000000"/>
          <w:lang w:val="fr-FR"/>
        </w:rPr>
        <w:t xml:space="preserve">  domaine</w:t>
      </w:r>
      <w:r w:rsidR="00AE331E" w:rsidRPr="00356D0A">
        <w:rPr>
          <w:rFonts w:asciiTheme="majorHAnsi" w:eastAsia="Calibri" w:hAnsiTheme="majorHAnsi" w:cs="Arial"/>
          <w:color w:val="000000"/>
          <w:lang w:val="fr-FR"/>
        </w:rPr>
        <w:t>s</w:t>
      </w:r>
      <w:r w:rsidRPr="00356D0A">
        <w:rPr>
          <w:rFonts w:asciiTheme="majorHAnsi" w:eastAsia="Calibri" w:hAnsiTheme="majorHAnsi" w:cs="Arial"/>
          <w:color w:val="000000"/>
          <w:lang w:val="fr-FR"/>
        </w:rPr>
        <w:t xml:space="preserve"> de la </w:t>
      </w:r>
      <w:r w:rsidR="00AE331E" w:rsidRPr="00356D0A">
        <w:rPr>
          <w:rFonts w:asciiTheme="majorHAnsi" w:eastAsia="Calibri" w:hAnsiTheme="majorHAnsi" w:cs="Arial"/>
          <w:color w:val="000000"/>
          <w:lang w:val="fr-FR"/>
        </w:rPr>
        <w:t>C</w:t>
      </w:r>
      <w:r w:rsidRPr="00356D0A">
        <w:rPr>
          <w:rFonts w:asciiTheme="majorHAnsi" w:eastAsia="Calibri" w:hAnsiTheme="majorHAnsi" w:cs="Arial"/>
          <w:color w:val="000000"/>
          <w:lang w:val="fr-FR"/>
        </w:rPr>
        <w:t>ohésion</w:t>
      </w:r>
      <w:r w:rsidR="00AE331E" w:rsidRPr="00356D0A">
        <w:rPr>
          <w:rFonts w:asciiTheme="majorHAnsi" w:eastAsia="Calibri" w:hAnsiTheme="majorHAnsi" w:cs="Arial"/>
          <w:color w:val="000000"/>
          <w:lang w:val="fr-FR"/>
        </w:rPr>
        <w:t xml:space="preserve"> sociale, de la G</w:t>
      </w:r>
      <w:r w:rsidRPr="00356D0A">
        <w:rPr>
          <w:rFonts w:asciiTheme="majorHAnsi" w:eastAsia="Calibri" w:hAnsiTheme="majorHAnsi" w:cs="Arial"/>
          <w:color w:val="000000"/>
          <w:lang w:val="fr-FR"/>
        </w:rPr>
        <w:t xml:space="preserve">ouvernance locale, du développement économique, de la </w:t>
      </w:r>
      <w:r w:rsidR="00AE331E" w:rsidRPr="00356D0A">
        <w:rPr>
          <w:rFonts w:asciiTheme="majorHAnsi" w:eastAsia="Calibri" w:hAnsiTheme="majorHAnsi" w:cs="Arial"/>
          <w:color w:val="000000"/>
          <w:lang w:val="fr-FR"/>
        </w:rPr>
        <w:t>P</w:t>
      </w:r>
      <w:r w:rsidRPr="00356D0A">
        <w:rPr>
          <w:rFonts w:asciiTheme="majorHAnsi" w:eastAsia="Calibri" w:hAnsiTheme="majorHAnsi" w:cs="Arial"/>
          <w:color w:val="000000"/>
          <w:lang w:val="fr-FR"/>
        </w:rPr>
        <w:t>rotection</w:t>
      </w:r>
      <w:r w:rsidR="00A37F13">
        <w:rPr>
          <w:rFonts w:asciiTheme="majorHAnsi" w:eastAsia="Calibri" w:hAnsiTheme="majorHAnsi" w:cs="Arial"/>
          <w:color w:val="000000"/>
          <w:lang w:val="fr-FR"/>
        </w:rPr>
        <w:t>,</w:t>
      </w:r>
      <w:r w:rsidRPr="00356D0A">
        <w:rPr>
          <w:rFonts w:asciiTheme="majorHAnsi" w:eastAsia="Calibri" w:hAnsiTheme="majorHAnsi" w:cs="Arial"/>
          <w:color w:val="000000"/>
          <w:lang w:val="fr-FR"/>
        </w:rPr>
        <w:t xml:space="preserve"> </w:t>
      </w:r>
      <w:r w:rsidR="00AE331E" w:rsidRPr="00356D0A">
        <w:rPr>
          <w:rFonts w:asciiTheme="majorHAnsi" w:eastAsia="Calibri" w:hAnsiTheme="majorHAnsi" w:cs="Arial"/>
          <w:color w:val="000000"/>
          <w:lang w:val="fr-FR"/>
        </w:rPr>
        <w:t xml:space="preserve">de </w:t>
      </w:r>
      <w:r w:rsidRPr="00356D0A">
        <w:rPr>
          <w:rFonts w:asciiTheme="majorHAnsi" w:eastAsia="Calibri" w:hAnsiTheme="majorHAnsi" w:cs="Arial"/>
          <w:color w:val="000000"/>
          <w:lang w:val="fr-FR"/>
        </w:rPr>
        <w:t>la</w:t>
      </w:r>
      <w:r w:rsidR="00AE331E" w:rsidRPr="00356D0A">
        <w:rPr>
          <w:rFonts w:asciiTheme="majorHAnsi" w:eastAsia="Calibri" w:hAnsiTheme="majorHAnsi" w:cs="Arial"/>
          <w:color w:val="000000"/>
          <w:lang w:val="fr-FR"/>
        </w:rPr>
        <w:t xml:space="preserve"> Gestion des déchets</w:t>
      </w:r>
      <w:r w:rsidR="008E4DE7" w:rsidRPr="00356D0A">
        <w:rPr>
          <w:rFonts w:asciiTheme="majorHAnsi" w:eastAsia="Calibri" w:hAnsiTheme="majorHAnsi" w:cs="Arial"/>
          <w:color w:val="000000"/>
          <w:lang w:val="fr-FR"/>
        </w:rPr>
        <w:t xml:space="preserve"> </w:t>
      </w:r>
      <w:r w:rsidR="00A37F13">
        <w:rPr>
          <w:rFonts w:asciiTheme="majorHAnsi" w:eastAsia="Calibri" w:hAnsiTheme="majorHAnsi" w:cs="Arial"/>
          <w:color w:val="000000"/>
          <w:lang w:val="fr-FR"/>
        </w:rPr>
        <w:t xml:space="preserve">et celle des risques et des désastres </w:t>
      </w:r>
      <w:r w:rsidR="008E4DE7" w:rsidRPr="00356D0A">
        <w:rPr>
          <w:rFonts w:asciiTheme="majorHAnsi" w:eastAsia="Calibri" w:hAnsiTheme="majorHAnsi" w:cs="Arial"/>
          <w:color w:val="000000"/>
          <w:lang w:val="fr-FR"/>
        </w:rPr>
        <w:t xml:space="preserve">et </w:t>
      </w:r>
      <w:r w:rsidR="008E4DE7" w:rsidRPr="00356D0A">
        <w:rPr>
          <w:rFonts w:asciiTheme="majorHAnsi" w:eastAsia="Calibri" w:hAnsiTheme="majorHAnsi" w:cs="Arial"/>
          <w:bCs/>
          <w:color w:val="000000"/>
          <w:lang w:val="fr-FR"/>
        </w:rPr>
        <w:t>dont les 4 principaux résultats</w:t>
      </w:r>
      <w:r w:rsidR="00011223">
        <w:rPr>
          <w:rFonts w:asciiTheme="majorHAnsi" w:eastAsia="Calibri" w:hAnsiTheme="majorHAnsi" w:cs="Arial"/>
          <w:bCs/>
          <w:color w:val="000000"/>
          <w:lang w:val="fr-FR"/>
        </w:rPr>
        <w:t xml:space="preserve"> attendus</w:t>
      </w:r>
      <w:r w:rsidR="008E4DE7" w:rsidRPr="00356D0A">
        <w:rPr>
          <w:rFonts w:asciiTheme="majorHAnsi" w:eastAsia="Calibri" w:hAnsiTheme="majorHAnsi" w:cs="Arial"/>
          <w:bCs/>
          <w:color w:val="000000"/>
          <w:lang w:val="fr-FR"/>
        </w:rPr>
        <w:t xml:space="preserve"> sont :</w:t>
      </w:r>
    </w:p>
    <w:p w14:paraId="30F9EA26" w14:textId="77777777" w:rsidR="00576188" w:rsidRPr="00356D0A" w:rsidRDefault="00576188" w:rsidP="00576188">
      <w:pPr>
        <w:autoSpaceDE w:val="0"/>
        <w:autoSpaceDN w:val="0"/>
        <w:adjustRightInd w:val="0"/>
        <w:spacing w:after="0" w:line="240" w:lineRule="auto"/>
        <w:ind w:left="360"/>
        <w:jc w:val="both"/>
        <w:rPr>
          <w:rFonts w:asciiTheme="majorHAnsi" w:eastAsia="Calibri" w:hAnsiTheme="majorHAnsi" w:cs="Arial"/>
          <w:color w:val="000000"/>
          <w:lang w:val="fr-FR"/>
        </w:rPr>
      </w:pPr>
    </w:p>
    <w:p w14:paraId="20E05203" w14:textId="74D0E091" w:rsidR="00007EF3" w:rsidRPr="00356D0A" w:rsidRDefault="00AE331E" w:rsidP="00D41BE0">
      <w:pPr>
        <w:ind w:left="360"/>
        <w:rPr>
          <w:rFonts w:asciiTheme="majorHAnsi" w:hAnsiTheme="majorHAnsi"/>
          <w:lang w:val="fr-FR"/>
        </w:rPr>
      </w:pPr>
      <w:r w:rsidRPr="00356D0A">
        <w:rPr>
          <w:rFonts w:asciiTheme="majorHAnsi" w:hAnsiTheme="majorHAnsi"/>
          <w:b/>
          <w:lang w:val="fr-FR"/>
        </w:rPr>
        <w:t xml:space="preserve">Résultat 1: </w:t>
      </w:r>
      <w:r w:rsidRPr="00356D0A">
        <w:rPr>
          <w:rFonts w:asciiTheme="majorHAnsi" w:hAnsiTheme="majorHAnsi"/>
          <w:lang w:val="fr-FR"/>
        </w:rPr>
        <w:t xml:space="preserve">La cohésion sociale est améliorée et la violence réduite dans les 8 quartiers ciblés de </w:t>
      </w:r>
      <w:r w:rsidR="008E4DE7" w:rsidRPr="00356D0A">
        <w:rPr>
          <w:rFonts w:asciiTheme="majorHAnsi" w:hAnsiTheme="majorHAnsi"/>
          <w:lang w:val="fr-FR"/>
        </w:rPr>
        <w:t>Cité</w:t>
      </w:r>
      <w:r w:rsidRPr="00356D0A">
        <w:rPr>
          <w:rFonts w:asciiTheme="majorHAnsi" w:hAnsiTheme="majorHAnsi"/>
          <w:lang w:val="fr-FR"/>
        </w:rPr>
        <w:t xml:space="preserve"> Soleil</w:t>
      </w:r>
    </w:p>
    <w:p w14:paraId="6B53BF2B" w14:textId="056323CE" w:rsidR="00D41BE0" w:rsidRPr="00356D0A" w:rsidRDefault="00AE331E" w:rsidP="00D41BE0">
      <w:pPr>
        <w:ind w:left="360"/>
        <w:rPr>
          <w:rFonts w:asciiTheme="majorHAnsi" w:hAnsiTheme="majorHAnsi"/>
          <w:lang w:val="fr-FR"/>
        </w:rPr>
      </w:pPr>
      <w:r w:rsidRPr="00356D0A">
        <w:rPr>
          <w:rFonts w:asciiTheme="majorHAnsi" w:hAnsiTheme="majorHAnsi"/>
          <w:b/>
          <w:lang w:val="fr-FR"/>
        </w:rPr>
        <w:t xml:space="preserve">Résultat 2: </w:t>
      </w:r>
      <w:r w:rsidRPr="00356D0A">
        <w:rPr>
          <w:rFonts w:asciiTheme="majorHAnsi" w:hAnsiTheme="majorHAnsi"/>
          <w:lang w:val="fr-FR"/>
        </w:rPr>
        <w:t>Le revenu de 2000 ménages extrêmement pauvres est augmenté (modèle de Gradation Urbaine) dans 8 quartiers ciblés de Cité Soleil</w:t>
      </w:r>
    </w:p>
    <w:p w14:paraId="26646C2D" w14:textId="77777777" w:rsidR="00AE331E" w:rsidRPr="00356D0A" w:rsidRDefault="00AE331E" w:rsidP="00AE331E">
      <w:pPr>
        <w:ind w:left="360"/>
        <w:rPr>
          <w:rFonts w:asciiTheme="majorHAnsi" w:hAnsiTheme="majorHAnsi"/>
          <w:b/>
          <w:lang w:val="fr-FR"/>
        </w:rPr>
      </w:pPr>
      <w:r w:rsidRPr="00356D0A">
        <w:rPr>
          <w:rFonts w:asciiTheme="majorHAnsi" w:hAnsiTheme="majorHAnsi"/>
          <w:b/>
          <w:lang w:val="fr-FR"/>
        </w:rPr>
        <w:t xml:space="preserve">Résultat 3: </w:t>
      </w:r>
      <w:r w:rsidRPr="00356D0A">
        <w:rPr>
          <w:rFonts w:asciiTheme="majorHAnsi" w:hAnsiTheme="majorHAnsi"/>
          <w:lang w:val="fr-FR"/>
        </w:rPr>
        <w:t>La gouvernance locale est améliorée par le biais d'un partenariat et d'un dialogue entre la communauté et les niveaux central et local du gouvernement</w:t>
      </w:r>
    </w:p>
    <w:p w14:paraId="430ED29B" w14:textId="25B12C1E" w:rsidR="00D74341" w:rsidRPr="00356D0A" w:rsidRDefault="00AE331E" w:rsidP="00AE331E">
      <w:pPr>
        <w:ind w:left="360"/>
        <w:rPr>
          <w:rFonts w:asciiTheme="majorHAnsi" w:hAnsiTheme="majorHAnsi"/>
          <w:lang w:val="fr-FR"/>
        </w:rPr>
      </w:pPr>
      <w:r w:rsidRPr="00356D0A">
        <w:rPr>
          <w:rFonts w:asciiTheme="majorHAnsi" w:hAnsiTheme="majorHAnsi"/>
          <w:b/>
          <w:lang w:val="fr-FR"/>
        </w:rPr>
        <w:t xml:space="preserve">Résultat 4: </w:t>
      </w:r>
      <w:r w:rsidRPr="00356D0A">
        <w:rPr>
          <w:rFonts w:asciiTheme="majorHAnsi" w:hAnsiTheme="majorHAnsi"/>
          <w:lang w:val="fr-FR"/>
        </w:rPr>
        <w:t>Les 8 quartiers ciblés de Cité Soleil sont moins vulnérables face aux risques causés par les fortes pluies</w:t>
      </w:r>
    </w:p>
    <w:p w14:paraId="22B456CA" w14:textId="21AD1CFB" w:rsidR="007A0A24" w:rsidRDefault="008E4DE7" w:rsidP="007A0A24">
      <w:pPr>
        <w:ind w:left="360"/>
        <w:jc w:val="both"/>
        <w:rPr>
          <w:rFonts w:asciiTheme="majorHAnsi" w:hAnsiTheme="majorHAnsi"/>
          <w:lang w:val="fr-FR"/>
        </w:rPr>
      </w:pPr>
      <w:r w:rsidRPr="00356D0A">
        <w:rPr>
          <w:rFonts w:asciiTheme="majorHAnsi" w:hAnsiTheme="majorHAnsi"/>
          <w:lang w:val="fr-FR"/>
        </w:rPr>
        <w:t>Afin d’atteindre son Résultat</w:t>
      </w:r>
      <w:r w:rsidR="00357E0C">
        <w:rPr>
          <w:rFonts w:asciiTheme="majorHAnsi" w:hAnsiTheme="majorHAnsi"/>
          <w:lang w:val="fr-FR"/>
        </w:rPr>
        <w:t xml:space="preserve"> </w:t>
      </w:r>
      <w:r w:rsidRPr="00356D0A">
        <w:rPr>
          <w:rFonts w:asciiTheme="majorHAnsi" w:hAnsiTheme="majorHAnsi"/>
          <w:lang w:val="fr-FR"/>
        </w:rPr>
        <w:t>2,</w:t>
      </w:r>
      <w:r w:rsidR="00B45252">
        <w:rPr>
          <w:rFonts w:asciiTheme="majorHAnsi" w:hAnsiTheme="majorHAnsi"/>
          <w:lang w:val="fr-FR"/>
        </w:rPr>
        <w:t xml:space="preserve"> relatif à l’appui économique,</w:t>
      </w:r>
      <w:r w:rsidRPr="00356D0A">
        <w:rPr>
          <w:rFonts w:asciiTheme="majorHAnsi" w:hAnsiTheme="majorHAnsi"/>
          <w:lang w:val="fr-FR"/>
        </w:rPr>
        <w:t xml:space="preserve"> </w:t>
      </w:r>
      <w:r w:rsidR="007A0A24" w:rsidRPr="00F51AAF">
        <w:rPr>
          <w:rFonts w:asciiTheme="majorHAnsi" w:hAnsiTheme="majorHAnsi"/>
          <w:lang w:val="fr-FR"/>
        </w:rPr>
        <w:t xml:space="preserve">le programme </w:t>
      </w:r>
      <w:r w:rsidR="00357E0C">
        <w:rPr>
          <w:rFonts w:asciiTheme="majorHAnsi" w:hAnsiTheme="majorHAnsi"/>
          <w:lang w:val="fr-FR"/>
        </w:rPr>
        <w:t>prévoit d’accompagner financièrement les bénéficiaires du volet Livelihoods, en les octroyant des subventions pour la consommation et pour la mise en place d’Activités Génératrices de Revenus (AGR)</w:t>
      </w:r>
    </w:p>
    <w:p w14:paraId="0BDD2CFB" w14:textId="77777777" w:rsidR="007A0A24" w:rsidRDefault="007A0A24" w:rsidP="007A0A24">
      <w:pPr>
        <w:ind w:left="360"/>
        <w:jc w:val="both"/>
        <w:rPr>
          <w:rFonts w:asciiTheme="majorHAnsi" w:hAnsiTheme="majorHAnsi"/>
          <w:lang w:val="fr-FR"/>
        </w:rPr>
      </w:pPr>
    </w:p>
    <w:p w14:paraId="6C135FDD" w14:textId="752B9DF0" w:rsidR="008E4DE7" w:rsidRPr="00356D0A" w:rsidRDefault="006E3ED3" w:rsidP="006E3ED3">
      <w:pPr>
        <w:ind w:left="360"/>
        <w:jc w:val="both"/>
        <w:rPr>
          <w:rFonts w:asciiTheme="majorHAnsi" w:hAnsiTheme="majorHAnsi"/>
          <w:lang w:val="fr-FR"/>
        </w:rPr>
      </w:pPr>
      <w:r>
        <w:rPr>
          <w:rFonts w:asciiTheme="majorHAnsi" w:hAnsiTheme="majorHAnsi"/>
          <w:lang w:val="fr-FR"/>
        </w:rPr>
        <w:lastRenderedPageBreak/>
        <w:t>La Vision de Concern est d’apporter d</w:t>
      </w:r>
      <w:r w:rsidR="00011223">
        <w:rPr>
          <w:rFonts w:asciiTheme="majorHAnsi" w:hAnsiTheme="majorHAnsi"/>
          <w:lang w:val="fr-FR"/>
        </w:rPr>
        <w:t xml:space="preserve">eux types de soutiens aux bénéficiaires selon leur profil </w:t>
      </w:r>
      <w:r w:rsidR="00F51AAF">
        <w:rPr>
          <w:rFonts w:asciiTheme="majorHAnsi" w:hAnsiTheme="majorHAnsi"/>
          <w:lang w:val="fr-FR"/>
        </w:rPr>
        <w:t>socio-économique</w:t>
      </w:r>
      <w:r>
        <w:rPr>
          <w:rFonts w:asciiTheme="majorHAnsi" w:hAnsiTheme="majorHAnsi"/>
          <w:lang w:val="fr-FR"/>
        </w:rPr>
        <w:t> </w:t>
      </w:r>
      <w:r w:rsidR="00011223">
        <w:rPr>
          <w:rFonts w:asciiTheme="majorHAnsi" w:hAnsiTheme="majorHAnsi"/>
          <w:lang w:val="fr-FR"/>
        </w:rPr>
        <w:t xml:space="preserve">: i) un appui </w:t>
      </w:r>
      <w:r w:rsidR="008E4DE7" w:rsidRPr="00356D0A">
        <w:rPr>
          <w:rFonts w:asciiTheme="majorHAnsi" w:hAnsiTheme="majorHAnsi"/>
          <w:lang w:val="fr-FR"/>
        </w:rPr>
        <w:t>dans l’identification, la mise en place et la gestion d’Activités Génératrices de Reve</w:t>
      </w:r>
      <w:r w:rsidR="00011223">
        <w:rPr>
          <w:rFonts w:asciiTheme="majorHAnsi" w:hAnsiTheme="majorHAnsi"/>
          <w:lang w:val="fr-FR"/>
        </w:rPr>
        <w:t>nus (AGR) ; ou ii) un appui à l’insertion dans le marché de l’emploi à travers des formations professionnelles.</w:t>
      </w:r>
      <w:r w:rsidR="00F51AAF">
        <w:rPr>
          <w:rFonts w:asciiTheme="majorHAnsi" w:hAnsiTheme="majorHAnsi"/>
          <w:lang w:val="fr-FR"/>
        </w:rPr>
        <w:t xml:space="preserve"> Un accompagnement transversal sera apporté à tous les participants dans le cadre de </w:t>
      </w:r>
      <w:r>
        <w:rPr>
          <w:rFonts w:asciiTheme="majorHAnsi" w:hAnsiTheme="majorHAnsi"/>
          <w:lang w:val="fr-FR"/>
        </w:rPr>
        <w:t>formation en compétences de vie</w:t>
      </w:r>
      <w:r w:rsidR="00F51AAF">
        <w:rPr>
          <w:rFonts w:asciiTheme="majorHAnsi" w:hAnsiTheme="majorHAnsi"/>
          <w:lang w:val="fr-FR"/>
        </w:rPr>
        <w:t xml:space="preserve"> </w:t>
      </w:r>
      <w:r>
        <w:rPr>
          <w:rFonts w:asciiTheme="majorHAnsi" w:hAnsiTheme="majorHAnsi"/>
          <w:lang w:val="fr-FR"/>
        </w:rPr>
        <w:t>(</w:t>
      </w:r>
      <w:proofErr w:type="spellStart"/>
      <w:r>
        <w:rPr>
          <w:rFonts w:asciiTheme="majorHAnsi" w:hAnsiTheme="majorHAnsi"/>
          <w:lang w:val="fr-FR"/>
        </w:rPr>
        <w:t>lifeskills</w:t>
      </w:r>
      <w:proofErr w:type="spellEnd"/>
      <w:r>
        <w:rPr>
          <w:rFonts w:asciiTheme="majorHAnsi" w:hAnsiTheme="majorHAnsi"/>
          <w:lang w:val="fr-FR"/>
        </w:rPr>
        <w:t xml:space="preserve">), </w:t>
      </w:r>
      <w:r w:rsidR="00F51AAF">
        <w:rPr>
          <w:rFonts w:asciiTheme="majorHAnsi" w:hAnsiTheme="majorHAnsi"/>
          <w:lang w:val="fr-FR"/>
        </w:rPr>
        <w:t>en</w:t>
      </w:r>
      <w:r>
        <w:rPr>
          <w:rFonts w:asciiTheme="majorHAnsi" w:hAnsiTheme="majorHAnsi"/>
          <w:lang w:val="fr-FR"/>
        </w:rPr>
        <w:t xml:space="preserve">  création et  gestion d’une unité de production</w:t>
      </w:r>
      <w:r w:rsidR="00F51AAF">
        <w:rPr>
          <w:rFonts w:asciiTheme="majorHAnsi" w:hAnsiTheme="majorHAnsi"/>
          <w:lang w:val="fr-FR"/>
        </w:rPr>
        <w:t xml:space="preserve"> </w:t>
      </w:r>
      <w:r>
        <w:rPr>
          <w:rFonts w:asciiTheme="majorHAnsi" w:hAnsiTheme="majorHAnsi"/>
          <w:lang w:val="fr-FR"/>
        </w:rPr>
        <w:t xml:space="preserve">(business </w:t>
      </w:r>
      <w:proofErr w:type="spellStart"/>
      <w:r>
        <w:rPr>
          <w:rFonts w:asciiTheme="majorHAnsi" w:hAnsiTheme="majorHAnsi"/>
          <w:lang w:val="fr-FR"/>
        </w:rPr>
        <w:t>skills</w:t>
      </w:r>
      <w:proofErr w:type="spellEnd"/>
      <w:r>
        <w:rPr>
          <w:rFonts w:asciiTheme="majorHAnsi" w:hAnsiTheme="majorHAnsi"/>
          <w:lang w:val="fr-FR"/>
        </w:rPr>
        <w:t xml:space="preserve">) et le réseautage. </w:t>
      </w:r>
      <w:r w:rsidR="00011223">
        <w:rPr>
          <w:rFonts w:asciiTheme="majorHAnsi" w:hAnsiTheme="majorHAnsi"/>
          <w:lang w:val="fr-FR"/>
        </w:rPr>
        <w:t>L’accompagnement est prévu pour durer 18 mois pour chaque bénéficiaire. Plusieurs vagues seront prévues dans le cadre de cet appui d’une durée totale de 5 ans (2017-2021).</w:t>
      </w:r>
    </w:p>
    <w:p w14:paraId="159221C3" w14:textId="77777777" w:rsidR="00E4311F" w:rsidRDefault="00E4311F" w:rsidP="00C21EBD">
      <w:pPr>
        <w:rPr>
          <w:rFonts w:asciiTheme="majorHAnsi" w:hAnsiTheme="majorHAnsi"/>
          <w:lang w:val="fr-FR"/>
        </w:rPr>
      </w:pPr>
    </w:p>
    <w:p w14:paraId="773744DC" w14:textId="51D27EFF" w:rsidR="0004337E" w:rsidRDefault="00D24949" w:rsidP="00C02CE1">
      <w:pPr>
        <w:pStyle w:val="ListParagraph"/>
        <w:numPr>
          <w:ilvl w:val="0"/>
          <w:numId w:val="1"/>
        </w:numPr>
        <w:rPr>
          <w:rFonts w:asciiTheme="majorHAnsi" w:hAnsiTheme="majorHAnsi"/>
          <w:b/>
          <w:sz w:val="28"/>
          <w:szCs w:val="28"/>
          <w:lang w:val="fr-FR"/>
        </w:rPr>
      </w:pPr>
      <w:r w:rsidRPr="00356D0A">
        <w:rPr>
          <w:rFonts w:asciiTheme="majorHAnsi" w:hAnsiTheme="majorHAnsi"/>
          <w:b/>
          <w:sz w:val="28"/>
          <w:szCs w:val="28"/>
          <w:lang w:val="fr-FR"/>
        </w:rPr>
        <w:t>Ob</w:t>
      </w:r>
      <w:r w:rsidR="00F7773F" w:rsidRPr="00356D0A">
        <w:rPr>
          <w:rFonts w:asciiTheme="majorHAnsi" w:hAnsiTheme="majorHAnsi"/>
          <w:b/>
          <w:sz w:val="28"/>
          <w:szCs w:val="28"/>
          <w:lang w:val="fr-FR"/>
        </w:rPr>
        <w:t>jectifs de la consultation</w:t>
      </w:r>
    </w:p>
    <w:p w14:paraId="11592D00" w14:textId="77777777" w:rsidR="0036044E" w:rsidRPr="00356D0A" w:rsidRDefault="0036044E" w:rsidP="0036044E">
      <w:pPr>
        <w:pStyle w:val="ListParagraph"/>
        <w:rPr>
          <w:rFonts w:asciiTheme="majorHAnsi" w:hAnsiTheme="majorHAnsi"/>
          <w:b/>
          <w:sz w:val="28"/>
          <w:szCs w:val="28"/>
          <w:lang w:val="fr-FR"/>
        </w:rPr>
      </w:pPr>
    </w:p>
    <w:p w14:paraId="5D009985" w14:textId="4D4340D3" w:rsidR="00D24949" w:rsidRDefault="00D24949" w:rsidP="00C02CE1">
      <w:pPr>
        <w:pStyle w:val="ListParagraph"/>
        <w:numPr>
          <w:ilvl w:val="0"/>
          <w:numId w:val="3"/>
        </w:numPr>
        <w:spacing w:after="0"/>
        <w:rPr>
          <w:rFonts w:asciiTheme="majorHAnsi" w:hAnsiTheme="majorHAnsi"/>
          <w:b/>
          <w:sz w:val="24"/>
          <w:szCs w:val="24"/>
          <w:lang w:val="fr-FR"/>
        </w:rPr>
      </w:pPr>
      <w:r w:rsidRPr="00356D0A">
        <w:rPr>
          <w:rFonts w:asciiTheme="majorHAnsi" w:hAnsiTheme="majorHAnsi"/>
          <w:b/>
          <w:sz w:val="24"/>
          <w:szCs w:val="24"/>
          <w:lang w:val="fr-FR"/>
        </w:rPr>
        <w:t>Objectif général</w:t>
      </w:r>
    </w:p>
    <w:p w14:paraId="4FB96672" w14:textId="74F77D19" w:rsidR="00A862E0" w:rsidRDefault="00EB0D3A" w:rsidP="00692B04">
      <w:pPr>
        <w:spacing w:after="0"/>
        <w:ind w:left="360"/>
        <w:jc w:val="both"/>
        <w:rPr>
          <w:rFonts w:asciiTheme="majorHAnsi" w:hAnsiTheme="majorHAnsi"/>
          <w:lang w:val="fr-FR"/>
        </w:rPr>
      </w:pPr>
      <w:r>
        <w:rPr>
          <w:rFonts w:asciiTheme="majorHAnsi" w:hAnsiTheme="majorHAnsi"/>
          <w:lang w:val="fr-FR"/>
        </w:rPr>
        <w:t xml:space="preserve">L’Objectif général du service est </w:t>
      </w:r>
      <w:r w:rsidR="00D24949" w:rsidRPr="00356D0A">
        <w:rPr>
          <w:rFonts w:asciiTheme="majorHAnsi" w:hAnsiTheme="majorHAnsi"/>
          <w:lang w:val="fr-FR"/>
        </w:rPr>
        <w:t xml:space="preserve">de </w:t>
      </w:r>
      <w:r w:rsidR="001A2E05">
        <w:rPr>
          <w:rFonts w:asciiTheme="majorHAnsi" w:hAnsiTheme="majorHAnsi"/>
          <w:lang w:val="fr-FR"/>
        </w:rPr>
        <w:t xml:space="preserve">i) </w:t>
      </w:r>
      <w:r>
        <w:rPr>
          <w:rFonts w:asciiTheme="majorHAnsi" w:hAnsiTheme="majorHAnsi"/>
          <w:lang w:val="fr-FR"/>
        </w:rPr>
        <w:t>Assurer le transfert de</w:t>
      </w:r>
      <w:r w:rsidR="00943F77">
        <w:rPr>
          <w:rFonts w:asciiTheme="majorHAnsi" w:hAnsiTheme="majorHAnsi"/>
          <w:lang w:val="fr-FR"/>
        </w:rPr>
        <w:t xml:space="preserve"> quatre</w:t>
      </w:r>
      <w:r>
        <w:rPr>
          <w:rFonts w:asciiTheme="majorHAnsi" w:hAnsiTheme="majorHAnsi"/>
          <w:lang w:val="fr-FR"/>
        </w:rPr>
        <w:t xml:space="preserve"> millions</w:t>
      </w:r>
      <w:r w:rsidR="00943F77">
        <w:rPr>
          <w:rFonts w:asciiTheme="majorHAnsi" w:hAnsiTheme="majorHAnsi"/>
          <w:lang w:val="fr-FR"/>
        </w:rPr>
        <w:t xml:space="preserve"> (4 000 000)</w:t>
      </w:r>
      <w:r>
        <w:rPr>
          <w:rFonts w:asciiTheme="majorHAnsi" w:hAnsiTheme="majorHAnsi"/>
          <w:lang w:val="fr-FR"/>
        </w:rPr>
        <w:t xml:space="preserve"> de gourdes a </w:t>
      </w:r>
      <w:r w:rsidR="00943F77">
        <w:rPr>
          <w:rFonts w:asciiTheme="majorHAnsi" w:hAnsiTheme="majorHAnsi"/>
          <w:lang w:val="fr-FR"/>
        </w:rPr>
        <w:t>quatre cents (</w:t>
      </w:r>
      <w:r>
        <w:rPr>
          <w:rFonts w:asciiTheme="majorHAnsi" w:hAnsiTheme="majorHAnsi"/>
          <w:lang w:val="fr-FR"/>
        </w:rPr>
        <w:t>400</w:t>
      </w:r>
      <w:r w:rsidR="00943F77">
        <w:rPr>
          <w:rFonts w:asciiTheme="majorHAnsi" w:hAnsiTheme="majorHAnsi"/>
          <w:lang w:val="fr-FR"/>
        </w:rPr>
        <w:t>)</w:t>
      </w:r>
      <w:r>
        <w:rPr>
          <w:rFonts w:asciiTheme="majorHAnsi" w:hAnsiTheme="majorHAnsi"/>
          <w:lang w:val="fr-FR"/>
        </w:rPr>
        <w:t xml:space="preserve"> </w:t>
      </w:r>
      <w:r w:rsidR="0019082B">
        <w:rPr>
          <w:rFonts w:asciiTheme="majorHAnsi" w:hAnsiTheme="majorHAnsi"/>
          <w:lang w:val="fr-FR"/>
        </w:rPr>
        <w:t>bénéficiaires</w:t>
      </w:r>
      <w:r>
        <w:rPr>
          <w:rFonts w:asciiTheme="majorHAnsi" w:hAnsiTheme="majorHAnsi"/>
          <w:lang w:val="fr-FR"/>
        </w:rPr>
        <w:t xml:space="preserve">, en 10 tranches, durant </w:t>
      </w:r>
      <w:r w:rsidR="00943F77">
        <w:rPr>
          <w:rFonts w:asciiTheme="majorHAnsi" w:hAnsiTheme="majorHAnsi"/>
          <w:lang w:val="fr-FR"/>
        </w:rPr>
        <w:t>dix (</w:t>
      </w:r>
      <w:r>
        <w:rPr>
          <w:rFonts w:asciiTheme="majorHAnsi" w:hAnsiTheme="majorHAnsi"/>
          <w:lang w:val="fr-FR"/>
        </w:rPr>
        <w:t>10</w:t>
      </w:r>
      <w:r w:rsidR="00943F77">
        <w:rPr>
          <w:rFonts w:asciiTheme="majorHAnsi" w:hAnsiTheme="majorHAnsi"/>
          <w:lang w:val="fr-FR"/>
        </w:rPr>
        <w:t>)</w:t>
      </w:r>
      <w:r>
        <w:rPr>
          <w:rFonts w:asciiTheme="majorHAnsi" w:hAnsiTheme="majorHAnsi"/>
          <w:lang w:val="fr-FR"/>
        </w:rPr>
        <w:t xml:space="preserve"> mois, a raison de </w:t>
      </w:r>
      <w:r w:rsidR="00943F77">
        <w:rPr>
          <w:rFonts w:asciiTheme="majorHAnsi" w:hAnsiTheme="majorHAnsi"/>
          <w:lang w:val="fr-FR"/>
        </w:rPr>
        <w:t>mille (</w:t>
      </w:r>
      <w:r>
        <w:rPr>
          <w:rFonts w:asciiTheme="majorHAnsi" w:hAnsiTheme="majorHAnsi"/>
          <w:lang w:val="fr-FR"/>
        </w:rPr>
        <w:t>1000</w:t>
      </w:r>
      <w:r w:rsidR="00943F77">
        <w:rPr>
          <w:rFonts w:asciiTheme="majorHAnsi" w:hAnsiTheme="majorHAnsi"/>
          <w:lang w:val="fr-FR"/>
        </w:rPr>
        <w:t>)</w:t>
      </w:r>
      <w:r>
        <w:rPr>
          <w:rFonts w:asciiTheme="majorHAnsi" w:hAnsiTheme="majorHAnsi"/>
          <w:lang w:val="fr-FR"/>
        </w:rPr>
        <w:t xml:space="preserve"> gourdes par </w:t>
      </w:r>
      <w:r w:rsidR="0019082B">
        <w:rPr>
          <w:rFonts w:asciiTheme="majorHAnsi" w:hAnsiTheme="majorHAnsi"/>
          <w:lang w:val="fr-FR"/>
        </w:rPr>
        <w:t>bénéficiaire</w:t>
      </w:r>
      <w:r>
        <w:rPr>
          <w:rFonts w:asciiTheme="majorHAnsi" w:hAnsiTheme="majorHAnsi"/>
          <w:lang w:val="fr-FR"/>
        </w:rPr>
        <w:t xml:space="preserve"> et </w:t>
      </w:r>
      <w:r w:rsidR="0019082B">
        <w:rPr>
          <w:rFonts w:asciiTheme="majorHAnsi" w:hAnsiTheme="majorHAnsi"/>
          <w:lang w:val="fr-FR"/>
        </w:rPr>
        <w:t>par mois ii</w:t>
      </w:r>
      <w:r w:rsidR="001A2E05">
        <w:rPr>
          <w:rFonts w:asciiTheme="majorHAnsi" w:hAnsiTheme="majorHAnsi"/>
          <w:lang w:val="fr-FR"/>
        </w:rPr>
        <w:t xml:space="preserve">) </w:t>
      </w:r>
      <w:r w:rsidR="0019082B">
        <w:rPr>
          <w:rFonts w:asciiTheme="majorHAnsi" w:hAnsiTheme="majorHAnsi"/>
          <w:lang w:val="fr-FR"/>
        </w:rPr>
        <w:t xml:space="preserve">Assurer le transfert de </w:t>
      </w:r>
      <w:r w:rsidR="00943F77">
        <w:rPr>
          <w:rFonts w:asciiTheme="majorHAnsi" w:hAnsiTheme="majorHAnsi"/>
          <w:lang w:val="fr-FR"/>
        </w:rPr>
        <w:t>trois millions sept cent cinquante milles (</w:t>
      </w:r>
      <w:r w:rsidR="0019082B">
        <w:rPr>
          <w:rFonts w:asciiTheme="majorHAnsi" w:hAnsiTheme="majorHAnsi"/>
          <w:lang w:val="fr-FR"/>
        </w:rPr>
        <w:t>3</w:t>
      </w:r>
      <w:r w:rsidR="00943F77">
        <w:rPr>
          <w:rFonts w:asciiTheme="majorHAnsi" w:hAnsiTheme="majorHAnsi"/>
          <w:lang w:val="fr-FR"/>
        </w:rPr>
        <w:t xml:space="preserve"> </w:t>
      </w:r>
      <w:r w:rsidR="0019082B">
        <w:rPr>
          <w:rFonts w:asciiTheme="majorHAnsi" w:hAnsiTheme="majorHAnsi"/>
          <w:lang w:val="fr-FR"/>
        </w:rPr>
        <w:t>750</w:t>
      </w:r>
      <w:r w:rsidR="00943F77">
        <w:rPr>
          <w:rFonts w:asciiTheme="majorHAnsi" w:hAnsiTheme="majorHAnsi"/>
          <w:lang w:val="fr-FR"/>
        </w:rPr>
        <w:t xml:space="preserve"> </w:t>
      </w:r>
      <w:r w:rsidR="0019082B">
        <w:rPr>
          <w:rFonts w:asciiTheme="majorHAnsi" w:hAnsiTheme="majorHAnsi"/>
          <w:lang w:val="fr-FR"/>
        </w:rPr>
        <w:t>000</w:t>
      </w:r>
      <w:r w:rsidR="00943F77">
        <w:rPr>
          <w:rFonts w:asciiTheme="majorHAnsi" w:hAnsiTheme="majorHAnsi"/>
          <w:lang w:val="fr-FR"/>
        </w:rPr>
        <w:t>)</w:t>
      </w:r>
      <w:r w:rsidR="0019082B">
        <w:rPr>
          <w:rFonts w:asciiTheme="majorHAnsi" w:hAnsiTheme="majorHAnsi"/>
          <w:lang w:val="fr-FR"/>
        </w:rPr>
        <w:t xml:space="preserve"> gourdes </w:t>
      </w:r>
      <w:r w:rsidR="00943F77">
        <w:rPr>
          <w:rFonts w:asciiTheme="majorHAnsi" w:hAnsiTheme="majorHAnsi"/>
          <w:lang w:val="fr-FR"/>
        </w:rPr>
        <w:t>à</w:t>
      </w:r>
      <w:r w:rsidR="0019082B">
        <w:rPr>
          <w:rFonts w:asciiTheme="majorHAnsi" w:hAnsiTheme="majorHAnsi"/>
          <w:lang w:val="fr-FR"/>
        </w:rPr>
        <w:t xml:space="preserve"> 250 </w:t>
      </w:r>
      <w:r w:rsidR="00943F77">
        <w:rPr>
          <w:rFonts w:asciiTheme="majorHAnsi" w:hAnsiTheme="majorHAnsi"/>
          <w:lang w:val="fr-FR"/>
        </w:rPr>
        <w:t>bénéficiaires</w:t>
      </w:r>
      <w:r w:rsidR="0019082B">
        <w:rPr>
          <w:rFonts w:asciiTheme="majorHAnsi" w:hAnsiTheme="majorHAnsi"/>
          <w:lang w:val="fr-FR"/>
        </w:rPr>
        <w:t xml:space="preserve">, en </w:t>
      </w:r>
      <w:r w:rsidR="00943F77">
        <w:rPr>
          <w:rFonts w:asciiTheme="majorHAnsi" w:hAnsiTheme="majorHAnsi"/>
          <w:lang w:val="fr-FR"/>
        </w:rPr>
        <w:t>deux (</w:t>
      </w:r>
      <w:r w:rsidR="0019082B">
        <w:rPr>
          <w:rFonts w:asciiTheme="majorHAnsi" w:hAnsiTheme="majorHAnsi"/>
          <w:lang w:val="fr-FR"/>
        </w:rPr>
        <w:t>2</w:t>
      </w:r>
      <w:r w:rsidR="00943F77">
        <w:rPr>
          <w:rFonts w:asciiTheme="majorHAnsi" w:hAnsiTheme="majorHAnsi"/>
          <w:lang w:val="fr-FR"/>
        </w:rPr>
        <w:t>)</w:t>
      </w:r>
      <w:r w:rsidR="0019082B">
        <w:rPr>
          <w:rFonts w:asciiTheme="majorHAnsi" w:hAnsiTheme="majorHAnsi"/>
          <w:lang w:val="fr-FR"/>
        </w:rPr>
        <w:t xml:space="preserve"> tranches, </w:t>
      </w:r>
      <w:r w:rsidR="00943F77">
        <w:rPr>
          <w:rFonts w:asciiTheme="majorHAnsi" w:hAnsiTheme="majorHAnsi"/>
          <w:lang w:val="fr-FR"/>
        </w:rPr>
        <w:t>à</w:t>
      </w:r>
      <w:r w:rsidR="0019082B">
        <w:rPr>
          <w:rFonts w:asciiTheme="majorHAnsi" w:hAnsiTheme="majorHAnsi"/>
          <w:lang w:val="fr-FR"/>
        </w:rPr>
        <w:t xml:space="preserve"> raison de </w:t>
      </w:r>
      <w:r w:rsidR="00943F77">
        <w:rPr>
          <w:rFonts w:asciiTheme="majorHAnsi" w:hAnsiTheme="majorHAnsi"/>
          <w:lang w:val="fr-FR"/>
        </w:rPr>
        <w:t>cinq milles (</w:t>
      </w:r>
      <w:r w:rsidR="0019082B">
        <w:rPr>
          <w:rFonts w:asciiTheme="majorHAnsi" w:hAnsiTheme="majorHAnsi"/>
          <w:lang w:val="fr-FR"/>
        </w:rPr>
        <w:t>5</w:t>
      </w:r>
      <w:r w:rsidR="00943F77">
        <w:rPr>
          <w:rFonts w:asciiTheme="majorHAnsi" w:hAnsiTheme="majorHAnsi"/>
          <w:lang w:val="fr-FR"/>
        </w:rPr>
        <w:t xml:space="preserve"> </w:t>
      </w:r>
      <w:r w:rsidR="0019082B">
        <w:rPr>
          <w:rFonts w:asciiTheme="majorHAnsi" w:hAnsiTheme="majorHAnsi"/>
          <w:lang w:val="fr-FR"/>
        </w:rPr>
        <w:t>000</w:t>
      </w:r>
      <w:r w:rsidR="00943F77">
        <w:rPr>
          <w:rFonts w:asciiTheme="majorHAnsi" w:hAnsiTheme="majorHAnsi"/>
          <w:lang w:val="fr-FR"/>
        </w:rPr>
        <w:t>)</w:t>
      </w:r>
      <w:r w:rsidR="0019082B">
        <w:rPr>
          <w:rFonts w:asciiTheme="majorHAnsi" w:hAnsiTheme="majorHAnsi"/>
          <w:lang w:val="fr-FR"/>
        </w:rPr>
        <w:t xml:space="preserve"> go</w:t>
      </w:r>
      <w:r w:rsidR="00943F77">
        <w:rPr>
          <w:rFonts w:asciiTheme="majorHAnsi" w:hAnsiTheme="majorHAnsi"/>
          <w:lang w:val="fr-FR"/>
        </w:rPr>
        <w:t>u</w:t>
      </w:r>
      <w:r w:rsidR="0019082B">
        <w:rPr>
          <w:rFonts w:asciiTheme="majorHAnsi" w:hAnsiTheme="majorHAnsi"/>
          <w:lang w:val="fr-FR"/>
        </w:rPr>
        <w:t xml:space="preserve">rdes comme </w:t>
      </w:r>
      <w:r w:rsidR="00943F77">
        <w:rPr>
          <w:rFonts w:asciiTheme="majorHAnsi" w:hAnsiTheme="majorHAnsi"/>
          <w:lang w:val="fr-FR"/>
        </w:rPr>
        <w:t>première</w:t>
      </w:r>
      <w:r w:rsidR="0019082B">
        <w:rPr>
          <w:rFonts w:asciiTheme="majorHAnsi" w:hAnsiTheme="majorHAnsi"/>
          <w:lang w:val="fr-FR"/>
        </w:rPr>
        <w:t xml:space="preserve"> tranche et </w:t>
      </w:r>
      <w:r w:rsidR="00943F77">
        <w:rPr>
          <w:rFonts w:asciiTheme="majorHAnsi" w:hAnsiTheme="majorHAnsi"/>
          <w:lang w:val="fr-FR"/>
        </w:rPr>
        <w:t>dix milles (</w:t>
      </w:r>
      <w:r w:rsidR="0019082B">
        <w:rPr>
          <w:rFonts w:asciiTheme="majorHAnsi" w:hAnsiTheme="majorHAnsi"/>
          <w:lang w:val="fr-FR"/>
        </w:rPr>
        <w:t>10</w:t>
      </w:r>
      <w:r w:rsidR="00943F77">
        <w:rPr>
          <w:rFonts w:asciiTheme="majorHAnsi" w:hAnsiTheme="majorHAnsi"/>
          <w:lang w:val="fr-FR"/>
        </w:rPr>
        <w:t xml:space="preserve"> </w:t>
      </w:r>
      <w:r w:rsidR="0019082B">
        <w:rPr>
          <w:rFonts w:asciiTheme="majorHAnsi" w:hAnsiTheme="majorHAnsi"/>
          <w:lang w:val="fr-FR"/>
        </w:rPr>
        <w:t>000</w:t>
      </w:r>
      <w:r w:rsidR="00943F77">
        <w:rPr>
          <w:rFonts w:asciiTheme="majorHAnsi" w:hAnsiTheme="majorHAnsi"/>
          <w:lang w:val="fr-FR"/>
        </w:rPr>
        <w:t>)</w:t>
      </w:r>
      <w:r w:rsidR="0019082B">
        <w:rPr>
          <w:rFonts w:asciiTheme="majorHAnsi" w:hAnsiTheme="majorHAnsi"/>
          <w:lang w:val="fr-FR"/>
        </w:rPr>
        <w:t xml:space="preserve"> gourdes comme </w:t>
      </w:r>
      <w:r w:rsidR="00943F77">
        <w:rPr>
          <w:rFonts w:asciiTheme="majorHAnsi" w:hAnsiTheme="majorHAnsi"/>
          <w:lang w:val="fr-FR"/>
        </w:rPr>
        <w:t>deuxième</w:t>
      </w:r>
      <w:r w:rsidR="0019082B">
        <w:rPr>
          <w:rFonts w:asciiTheme="majorHAnsi" w:hAnsiTheme="majorHAnsi"/>
          <w:lang w:val="fr-FR"/>
        </w:rPr>
        <w:t xml:space="preserve"> tranche par </w:t>
      </w:r>
      <w:r w:rsidR="00943F77">
        <w:rPr>
          <w:rFonts w:asciiTheme="majorHAnsi" w:hAnsiTheme="majorHAnsi"/>
          <w:lang w:val="fr-FR"/>
        </w:rPr>
        <w:t>bénéficiaire</w:t>
      </w:r>
      <w:r w:rsidR="001A2E05">
        <w:rPr>
          <w:rFonts w:asciiTheme="majorHAnsi" w:hAnsiTheme="majorHAnsi"/>
          <w:lang w:val="fr-FR"/>
        </w:rPr>
        <w:t xml:space="preserve">. </w:t>
      </w:r>
    </w:p>
    <w:p w14:paraId="25201C10" w14:textId="55873073" w:rsidR="0036044E" w:rsidRDefault="0036044E" w:rsidP="00692B04">
      <w:pPr>
        <w:spacing w:after="0"/>
        <w:ind w:left="360"/>
        <w:jc w:val="both"/>
        <w:rPr>
          <w:rFonts w:asciiTheme="majorHAnsi" w:hAnsiTheme="majorHAnsi"/>
          <w:lang w:val="fr-FR"/>
        </w:rPr>
      </w:pPr>
    </w:p>
    <w:p w14:paraId="72EC65E9" w14:textId="274B87A1" w:rsidR="000676E4" w:rsidRDefault="000676E4" w:rsidP="00C02CE1">
      <w:pPr>
        <w:pStyle w:val="ListParagraph"/>
        <w:numPr>
          <w:ilvl w:val="0"/>
          <w:numId w:val="3"/>
        </w:numPr>
        <w:rPr>
          <w:rFonts w:asciiTheme="majorHAnsi" w:hAnsiTheme="majorHAnsi"/>
          <w:b/>
          <w:sz w:val="24"/>
          <w:szCs w:val="24"/>
          <w:lang w:val="fr-FR"/>
        </w:rPr>
      </w:pPr>
      <w:r w:rsidRPr="00356D0A">
        <w:rPr>
          <w:rFonts w:asciiTheme="majorHAnsi" w:hAnsiTheme="majorHAnsi"/>
          <w:b/>
          <w:sz w:val="24"/>
          <w:szCs w:val="24"/>
          <w:lang w:val="fr-FR"/>
        </w:rPr>
        <w:t>Objectifs spécifiques</w:t>
      </w:r>
    </w:p>
    <w:p w14:paraId="74C6E0C0" w14:textId="56918EF8" w:rsidR="00A862E0" w:rsidRDefault="00943F77" w:rsidP="00C02CE1">
      <w:pPr>
        <w:pStyle w:val="ListParagraph"/>
        <w:numPr>
          <w:ilvl w:val="0"/>
          <w:numId w:val="2"/>
        </w:numPr>
        <w:jc w:val="both"/>
        <w:rPr>
          <w:rFonts w:asciiTheme="majorHAnsi" w:hAnsiTheme="majorHAnsi"/>
          <w:lang w:val="fr-FR"/>
        </w:rPr>
      </w:pPr>
      <w:r>
        <w:rPr>
          <w:rFonts w:asciiTheme="majorHAnsi" w:hAnsiTheme="majorHAnsi"/>
          <w:lang w:val="fr-FR"/>
        </w:rPr>
        <w:t xml:space="preserve">Assurer les transferts de cash aux </w:t>
      </w:r>
      <w:r w:rsidR="001A7BA2">
        <w:rPr>
          <w:rFonts w:asciiTheme="majorHAnsi" w:hAnsiTheme="majorHAnsi"/>
          <w:lang w:val="fr-FR"/>
        </w:rPr>
        <w:t>bénéficiaires</w:t>
      </w:r>
      <w:r>
        <w:rPr>
          <w:rFonts w:asciiTheme="majorHAnsi" w:hAnsiTheme="majorHAnsi"/>
          <w:lang w:val="fr-FR"/>
        </w:rPr>
        <w:t xml:space="preserve">, dans un endroit accessible, respectant les </w:t>
      </w:r>
      <w:r w:rsidR="001A7BA2">
        <w:rPr>
          <w:rFonts w:asciiTheme="majorHAnsi" w:hAnsiTheme="majorHAnsi"/>
          <w:lang w:val="fr-FR"/>
        </w:rPr>
        <w:t>règles</w:t>
      </w:r>
      <w:r>
        <w:rPr>
          <w:rFonts w:asciiTheme="majorHAnsi" w:hAnsiTheme="majorHAnsi"/>
          <w:lang w:val="fr-FR"/>
        </w:rPr>
        <w:t xml:space="preserve"> minimales de </w:t>
      </w:r>
      <w:r w:rsidR="001A7BA2">
        <w:rPr>
          <w:rFonts w:asciiTheme="majorHAnsi" w:hAnsiTheme="majorHAnsi"/>
          <w:lang w:val="fr-FR"/>
        </w:rPr>
        <w:t>sécurité</w:t>
      </w:r>
      <w:r>
        <w:rPr>
          <w:rFonts w:asciiTheme="majorHAnsi" w:hAnsiTheme="majorHAnsi"/>
          <w:lang w:val="fr-FR"/>
        </w:rPr>
        <w:t xml:space="preserve"> </w:t>
      </w:r>
      <w:r w:rsidR="001A7BA2">
        <w:rPr>
          <w:rFonts w:asciiTheme="majorHAnsi" w:hAnsiTheme="majorHAnsi"/>
          <w:lang w:val="fr-FR"/>
        </w:rPr>
        <w:t xml:space="preserve">et situé </w:t>
      </w:r>
      <w:r>
        <w:rPr>
          <w:rFonts w:asciiTheme="majorHAnsi" w:hAnsiTheme="majorHAnsi"/>
          <w:lang w:val="fr-FR"/>
        </w:rPr>
        <w:t xml:space="preserve"> dans la commune </w:t>
      </w:r>
      <w:r w:rsidR="001A7BA2">
        <w:rPr>
          <w:rFonts w:asciiTheme="majorHAnsi" w:hAnsiTheme="majorHAnsi"/>
          <w:lang w:val="fr-FR"/>
        </w:rPr>
        <w:t xml:space="preserve">de Cite soleil </w:t>
      </w:r>
      <w:r>
        <w:rPr>
          <w:rFonts w:asciiTheme="majorHAnsi" w:hAnsiTheme="majorHAnsi"/>
          <w:lang w:val="fr-FR"/>
        </w:rPr>
        <w:t xml:space="preserve">ou </w:t>
      </w:r>
      <w:r w:rsidR="001A7BA2">
        <w:rPr>
          <w:rFonts w:asciiTheme="majorHAnsi" w:hAnsiTheme="majorHAnsi"/>
          <w:lang w:val="fr-FR"/>
        </w:rPr>
        <w:t>à</w:t>
      </w:r>
      <w:r>
        <w:rPr>
          <w:rFonts w:asciiTheme="majorHAnsi" w:hAnsiTheme="majorHAnsi"/>
          <w:lang w:val="fr-FR"/>
        </w:rPr>
        <w:t xml:space="preserve"> </w:t>
      </w:r>
      <w:r w:rsidR="001A7BA2">
        <w:rPr>
          <w:rFonts w:asciiTheme="majorHAnsi" w:hAnsiTheme="majorHAnsi"/>
          <w:lang w:val="fr-FR"/>
        </w:rPr>
        <w:t>proximité</w:t>
      </w:r>
      <w:r>
        <w:rPr>
          <w:rFonts w:asciiTheme="majorHAnsi" w:hAnsiTheme="majorHAnsi"/>
          <w:lang w:val="fr-FR"/>
        </w:rPr>
        <w:t xml:space="preserve"> de </w:t>
      </w:r>
      <w:r w:rsidR="001A7BA2">
        <w:rPr>
          <w:rFonts w:asciiTheme="majorHAnsi" w:hAnsiTheme="majorHAnsi"/>
          <w:lang w:val="fr-FR"/>
        </w:rPr>
        <w:t>la commune.</w:t>
      </w:r>
    </w:p>
    <w:p w14:paraId="3060B5D7" w14:textId="779BCF57" w:rsidR="00F61765" w:rsidRPr="007169E4" w:rsidRDefault="001A7BA2" w:rsidP="00F61765">
      <w:pPr>
        <w:pStyle w:val="ListParagraph"/>
        <w:numPr>
          <w:ilvl w:val="0"/>
          <w:numId w:val="2"/>
        </w:numPr>
        <w:jc w:val="both"/>
        <w:rPr>
          <w:rFonts w:asciiTheme="majorHAnsi" w:hAnsiTheme="majorHAnsi"/>
          <w:lang w:val="fr-FR"/>
        </w:rPr>
      </w:pPr>
      <w:r>
        <w:rPr>
          <w:rFonts w:asciiTheme="majorHAnsi" w:hAnsiTheme="majorHAnsi"/>
          <w:lang w:val="fr-FR"/>
        </w:rPr>
        <w:t>Réaliser les transferts de cash, conformément aux listes des bénéficiaires partagées par Concern Worldwide</w:t>
      </w:r>
    </w:p>
    <w:p w14:paraId="03F75DD6" w14:textId="79B595BC" w:rsidR="00547579" w:rsidRDefault="001A7BA2" w:rsidP="00C02CE1">
      <w:pPr>
        <w:pStyle w:val="ListParagraph"/>
        <w:numPr>
          <w:ilvl w:val="0"/>
          <w:numId w:val="2"/>
        </w:numPr>
        <w:jc w:val="both"/>
        <w:rPr>
          <w:rFonts w:asciiTheme="majorHAnsi" w:hAnsiTheme="majorHAnsi"/>
          <w:lang w:val="fr-FR"/>
        </w:rPr>
      </w:pPr>
      <w:r>
        <w:rPr>
          <w:rFonts w:asciiTheme="majorHAnsi" w:hAnsiTheme="majorHAnsi"/>
          <w:lang w:val="fr-FR"/>
        </w:rPr>
        <w:t xml:space="preserve">Fournir a Concern Worldwide un bordereau de paiement, pour chaque transfert de cash, avec les informations sur le bénéficiaire et la date du transfert </w:t>
      </w:r>
    </w:p>
    <w:p w14:paraId="2EE04177" w14:textId="396D3E9A" w:rsidR="00E81E8C" w:rsidRPr="00566D90" w:rsidRDefault="001A7BA2" w:rsidP="00566D90">
      <w:pPr>
        <w:pStyle w:val="ListParagraph"/>
        <w:numPr>
          <w:ilvl w:val="0"/>
          <w:numId w:val="2"/>
        </w:numPr>
        <w:jc w:val="both"/>
        <w:rPr>
          <w:rFonts w:asciiTheme="majorHAnsi" w:hAnsiTheme="majorHAnsi"/>
          <w:lang w:val="fr-FR"/>
        </w:rPr>
      </w:pPr>
      <w:r w:rsidRPr="00566D90">
        <w:rPr>
          <w:rFonts w:asciiTheme="majorHAnsi" w:hAnsiTheme="majorHAnsi"/>
          <w:lang w:val="fr-FR"/>
        </w:rPr>
        <w:t>Fournir d</w:t>
      </w:r>
      <w:r w:rsidR="00566D90" w:rsidRPr="00566D90">
        <w:rPr>
          <w:rFonts w:asciiTheme="majorHAnsi" w:hAnsiTheme="majorHAnsi"/>
          <w:lang w:val="fr-FR"/>
        </w:rPr>
        <w:t>e</w:t>
      </w:r>
      <w:r w:rsidRPr="00566D90">
        <w:rPr>
          <w:rFonts w:asciiTheme="majorHAnsi" w:hAnsiTheme="majorHAnsi"/>
          <w:lang w:val="fr-FR"/>
        </w:rPr>
        <w:t xml:space="preserve">s rapports mensuels sur les transferts </w:t>
      </w:r>
      <w:r w:rsidR="00566D90" w:rsidRPr="00566D90">
        <w:rPr>
          <w:rFonts w:asciiTheme="majorHAnsi" w:hAnsiTheme="majorHAnsi"/>
          <w:lang w:val="fr-FR"/>
        </w:rPr>
        <w:t>réalisés</w:t>
      </w:r>
    </w:p>
    <w:p w14:paraId="6ABB081D" w14:textId="09B78625" w:rsidR="00CF2346" w:rsidRDefault="00CF2346" w:rsidP="00CF2346">
      <w:pPr>
        <w:ind w:left="720"/>
        <w:rPr>
          <w:rFonts w:asciiTheme="majorHAnsi" w:hAnsiTheme="majorHAnsi"/>
          <w:b/>
          <w:lang w:val="fr-FR"/>
        </w:rPr>
      </w:pPr>
    </w:p>
    <w:p w14:paraId="43362432" w14:textId="77777777" w:rsidR="00F2229C" w:rsidRPr="00356D0A" w:rsidRDefault="00F2229C" w:rsidP="00C02CE1">
      <w:pPr>
        <w:pStyle w:val="ListParagraph"/>
        <w:numPr>
          <w:ilvl w:val="0"/>
          <w:numId w:val="1"/>
        </w:numPr>
        <w:rPr>
          <w:rFonts w:asciiTheme="majorHAnsi" w:hAnsiTheme="majorHAnsi"/>
          <w:b/>
          <w:sz w:val="28"/>
          <w:szCs w:val="28"/>
          <w:lang w:val="en-US"/>
        </w:rPr>
      </w:pPr>
      <w:proofErr w:type="spellStart"/>
      <w:r>
        <w:rPr>
          <w:rFonts w:asciiTheme="majorHAnsi" w:hAnsiTheme="majorHAnsi"/>
          <w:b/>
          <w:sz w:val="28"/>
          <w:szCs w:val="28"/>
          <w:lang w:val="en-US"/>
        </w:rPr>
        <w:t>Livrables</w:t>
      </w:r>
      <w:proofErr w:type="spellEnd"/>
      <w:r>
        <w:rPr>
          <w:rFonts w:asciiTheme="majorHAnsi" w:hAnsiTheme="majorHAnsi"/>
          <w:b/>
          <w:sz w:val="28"/>
          <w:szCs w:val="28"/>
          <w:lang w:val="en-US"/>
        </w:rPr>
        <w:t xml:space="preserve"> </w:t>
      </w:r>
      <w:proofErr w:type="spellStart"/>
      <w:r w:rsidRPr="00356D0A">
        <w:rPr>
          <w:rFonts w:asciiTheme="majorHAnsi" w:hAnsiTheme="majorHAnsi"/>
          <w:b/>
          <w:sz w:val="28"/>
          <w:szCs w:val="28"/>
          <w:lang w:val="en-US"/>
        </w:rPr>
        <w:t>attendus</w:t>
      </w:r>
      <w:proofErr w:type="spellEnd"/>
    </w:p>
    <w:p w14:paraId="0F1761D1" w14:textId="77777777" w:rsidR="00F2229C" w:rsidRPr="00356D0A" w:rsidRDefault="00F2229C" w:rsidP="00F2229C">
      <w:pPr>
        <w:pStyle w:val="ListParagraph"/>
        <w:ind w:left="1440"/>
        <w:rPr>
          <w:rFonts w:asciiTheme="majorHAnsi" w:hAnsiTheme="majorHAnsi"/>
          <w:lang w:val="en-US"/>
        </w:rPr>
      </w:pPr>
    </w:p>
    <w:p w14:paraId="0F1045A0" w14:textId="44B893DE" w:rsidR="00F2229C" w:rsidRPr="00692B04" w:rsidRDefault="00566D90" w:rsidP="00C02CE1">
      <w:pPr>
        <w:pStyle w:val="ListParagraph"/>
        <w:numPr>
          <w:ilvl w:val="0"/>
          <w:numId w:val="10"/>
        </w:numPr>
        <w:jc w:val="both"/>
        <w:rPr>
          <w:rFonts w:asciiTheme="majorHAnsi" w:hAnsiTheme="majorHAnsi"/>
          <w:lang w:val="fr-FR"/>
        </w:rPr>
      </w:pPr>
      <w:r>
        <w:rPr>
          <w:rFonts w:asciiTheme="majorHAnsi" w:hAnsiTheme="majorHAnsi"/>
          <w:lang w:val="fr-FR"/>
        </w:rPr>
        <w:t>Les bordereaux de paiement pour tous les transferts réalisés</w:t>
      </w:r>
      <w:r w:rsidR="00F2229C" w:rsidRPr="00692B04">
        <w:rPr>
          <w:rFonts w:asciiTheme="majorHAnsi" w:hAnsiTheme="majorHAnsi"/>
          <w:lang w:val="fr-FR"/>
        </w:rPr>
        <w:t xml:space="preserve">.   </w:t>
      </w:r>
    </w:p>
    <w:p w14:paraId="7E4BD586" w14:textId="799B3006" w:rsidR="00F2229C" w:rsidRPr="00356D0A" w:rsidRDefault="00566D90" w:rsidP="00C02CE1">
      <w:pPr>
        <w:pStyle w:val="ListParagraph"/>
        <w:numPr>
          <w:ilvl w:val="0"/>
          <w:numId w:val="9"/>
        </w:numPr>
        <w:jc w:val="both"/>
        <w:rPr>
          <w:rFonts w:asciiTheme="majorHAnsi" w:hAnsiTheme="majorHAnsi"/>
          <w:lang w:val="fr-FR"/>
        </w:rPr>
      </w:pPr>
      <w:r>
        <w:rPr>
          <w:rFonts w:asciiTheme="majorHAnsi" w:hAnsiTheme="majorHAnsi"/>
          <w:lang w:val="fr-FR"/>
        </w:rPr>
        <w:t>Les rapports mensuels sur les transferts réalisés</w:t>
      </w:r>
    </w:p>
    <w:p w14:paraId="3627787D" w14:textId="77777777" w:rsidR="00692B04" w:rsidRPr="00356D0A" w:rsidRDefault="00692B04" w:rsidP="00692B04">
      <w:pPr>
        <w:pStyle w:val="ListParagraph"/>
        <w:jc w:val="both"/>
        <w:rPr>
          <w:rFonts w:asciiTheme="majorHAnsi" w:hAnsiTheme="majorHAnsi"/>
          <w:lang w:val="fr-FR"/>
        </w:rPr>
      </w:pPr>
    </w:p>
    <w:p w14:paraId="588A5AE8" w14:textId="6844E58E" w:rsidR="00CF2346" w:rsidRPr="00C21EBD" w:rsidRDefault="00CF2346" w:rsidP="00C02CE1">
      <w:pPr>
        <w:pStyle w:val="ListParagraph"/>
        <w:numPr>
          <w:ilvl w:val="0"/>
          <w:numId w:val="1"/>
        </w:numPr>
        <w:rPr>
          <w:rFonts w:asciiTheme="majorHAnsi" w:hAnsiTheme="majorHAnsi"/>
          <w:b/>
          <w:sz w:val="28"/>
          <w:szCs w:val="28"/>
          <w:lang w:val="fr-FR"/>
        </w:rPr>
      </w:pPr>
      <w:r w:rsidRPr="00C21EBD">
        <w:rPr>
          <w:rFonts w:asciiTheme="majorHAnsi" w:hAnsiTheme="majorHAnsi"/>
          <w:b/>
          <w:sz w:val="28"/>
          <w:szCs w:val="28"/>
          <w:lang w:val="fr-FR"/>
        </w:rPr>
        <w:t xml:space="preserve">Langue </w:t>
      </w:r>
    </w:p>
    <w:p w14:paraId="72C57594" w14:textId="2684E2A1" w:rsidR="00EC6094" w:rsidRDefault="008123BC"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Le rapport et les</w:t>
      </w:r>
      <w:r w:rsidR="00EC6094" w:rsidRPr="00692B04">
        <w:rPr>
          <w:rFonts w:asciiTheme="majorHAnsi" w:hAnsiTheme="majorHAnsi"/>
          <w:lang w:val="fr-FR"/>
        </w:rPr>
        <w:t xml:space="preserve"> </w:t>
      </w:r>
      <w:r w:rsidRPr="00692B04">
        <w:rPr>
          <w:rFonts w:asciiTheme="majorHAnsi" w:hAnsiTheme="majorHAnsi"/>
          <w:lang w:val="fr-FR"/>
        </w:rPr>
        <w:t>présentations</w:t>
      </w:r>
      <w:r w:rsidR="00EC6094" w:rsidRPr="00692B04">
        <w:rPr>
          <w:rFonts w:asciiTheme="majorHAnsi" w:hAnsiTheme="majorHAnsi"/>
          <w:lang w:val="fr-FR"/>
        </w:rPr>
        <w:t xml:space="preserve"> </w:t>
      </w:r>
      <w:r w:rsidRPr="00692B04">
        <w:rPr>
          <w:rFonts w:asciiTheme="majorHAnsi" w:hAnsiTheme="majorHAnsi"/>
          <w:lang w:val="fr-FR"/>
        </w:rPr>
        <w:t xml:space="preserve">doivent être faits en Français. Cependant, </w:t>
      </w:r>
      <w:r w:rsidR="00566D90">
        <w:rPr>
          <w:rFonts w:asciiTheme="majorHAnsi" w:hAnsiTheme="majorHAnsi"/>
          <w:lang w:val="fr-FR"/>
        </w:rPr>
        <w:t xml:space="preserve">le service aux bénéficiaires doit être fourni exclusivement en </w:t>
      </w:r>
      <w:r w:rsidRPr="00692B04">
        <w:rPr>
          <w:rFonts w:asciiTheme="majorHAnsi" w:hAnsiTheme="majorHAnsi"/>
          <w:lang w:val="fr-FR"/>
        </w:rPr>
        <w:t>Créole</w:t>
      </w:r>
      <w:r w:rsidR="00CF2346" w:rsidRPr="00692B04">
        <w:rPr>
          <w:rFonts w:asciiTheme="majorHAnsi" w:hAnsiTheme="majorHAnsi"/>
          <w:lang w:val="fr-FR"/>
        </w:rPr>
        <w:t xml:space="preserve"> haïtien</w:t>
      </w:r>
      <w:r w:rsidRPr="00692B04">
        <w:rPr>
          <w:rFonts w:asciiTheme="majorHAnsi" w:hAnsiTheme="majorHAnsi"/>
          <w:lang w:val="fr-FR"/>
        </w:rPr>
        <w:t>.</w:t>
      </w:r>
    </w:p>
    <w:p w14:paraId="793A8630" w14:textId="77777777" w:rsidR="00692B04" w:rsidRPr="00692B04" w:rsidRDefault="00692B04" w:rsidP="00692B04">
      <w:pPr>
        <w:pStyle w:val="ListParagraph"/>
        <w:jc w:val="both"/>
        <w:rPr>
          <w:rFonts w:asciiTheme="majorHAnsi" w:hAnsiTheme="majorHAnsi"/>
          <w:lang w:val="fr-FR"/>
        </w:rPr>
      </w:pPr>
    </w:p>
    <w:p w14:paraId="370F746A" w14:textId="6F9266AA" w:rsidR="007645C8" w:rsidRPr="00692B04" w:rsidRDefault="007645C8" w:rsidP="00C02CE1">
      <w:pPr>
        <w:pStyle w:val="ListParagraph"/>
        <w:numPr>
          <w:ilvl w:val="0"/>
          <w:numId w:val="1"/>
        </w:numPr>
        <w:rPr>
          <w:rFonts w:asciiTheme="majorHAnsi" w:hAnsiTheme="majorHAnsi"/>
          <w:b/>
          <w:sz w:val="28"/>
          <w:szCs w:val="28"/>
          <w:lang w:val="fr-FR"/>
        </w:rPr>
      </w:pPr>
      <w:r w:rsidRPr="00692B04">
        <w:rPr>
          <w:rFonts w:asciiTheme="majorHAnsi" w:hAnsiTheme="majorHAnsi"/>
          <w:b/>
          <w:sz w:val="28"/>
          <w:szCs w:val="28"/>
          <w:lang w:val="fr-FR"/>
        </w:rPr>
        <w:t>Rôles et responsabilités techniques et financières respectifs</w:t>
      </w:r>
    </w:p>
    <w:p w14:paraId="66F1CFC7" w14:textId="31E39AB4" w:rsidR="007645C8" w:rsidRDefault="00566D90" w:rsidP="007645C8">
      <w:pPr>
        <w:jc w:val="both"/>
        <w:rPr>
          <w:rFonts w:asciiTheme="majorHAnsi" w:eastAsia="Calibri" w:hAnsiTheme="majorHAnsi" w:cstheme="minorHAnsi"/>
          <w:b/>
          <w:lang w:val="fr-FR"/>
        </w:rPr>
      </w:pPr>
      <w:r>
        <w:rPr>
          <w:rFonts w:asciiTheme="majorHAnsi" w:eastAsia="Calibri" w:hAnsiTheme="majorHAnsi" w:cstheme="minorHAnsi"/>
          <w:b/>
          <w:lang w:val="fr-FR"/>
        </w:rPr>
        <w:t>L’Institution de transfert</w:t>
      </w:r>
      <w:r w:rsidR="007645C8" w:rsidRPr="00356D0A">
        <w:rPr>
          <w:rFonts w:asciiTheme="majorHAnsi" w:eastAsia="Calibri" w:hAnsiTheme="majorHAnsi" w:cstheme="minorHAnsi"/>
          <w:b/>
          <w:lang w:val="fr-FR"/>
        </w:rPr>
        <w:t xml:space="preserve"> s’engagera à:</w:t>
      </w:r>
    </w:p>
    <w:p w14:paraId="49397732" w14:textId="24910181" w:rsidR="00B62F84" w:rsidRDefault="00566D90" w:rsidP="00C02CE1">
      <w:pPr>
        <w:pStyle w:val="ListParagraph"/>
        <w:numPr>
          <w:ilvl w:val="0"/>
          <w:numId w:val="9"/>
        </w:numPr>
        <w:jc w:val="both"/>
        <w:rPr>
          <w:rFonts w:asciiTheme="majorHAnsi" w:hAnsiTheme="majorHAnsi"/>
          <w:lang w:val="fr-FR"/>
        </w:rPr>
      </w:pPr>
      <w:r>
        <w:rPr>
          <w:rFonts w:asciiTheme="majorHAnsi" w:hAnsiTheme="majorHAnsi"/>
          <w:lang w:val="fr-FR"/>
        </w:rPr>
        <w:t xml:space="preserve">Rendre des espaces </w:t>
      </w:r>
      <w:r w:rsidR="00A0476B">
        <w:rPr>
          <w:rFonts w:asciiTheme="majorHAnsi" w:hAnsiTheme="majorHAnsi"/>
          <w:lang w:val="fr-FR"/>
        </w:rPr>
        <w:t>disponibles</w:t>
      </w:r>
      <w:r>
        <w:rPr>
          <w:rFonts w:asciiTheme="majorHAnsi" w:hAnsiTheme="majorHAnsi"/>
          <w:lang w:val="fr-FR"/>
        </w:rPr>
        <w:t xml:space="preserve"> dans la commune de Cite Soleil ou </w:t>
      </w:r>
      <w:r w:rsidR="00A0476B">
        <w:rPr>
          <w:rFonts w:asciiTheme="majorHAnsi" w:hAnsiTheme="majorHAnsi"/>
          <w:lang w:val="fr-FR"/>
        </w:rPr>
        <w:t>à</w:t>
      </w:r>
      <w:r>
        <w:rPr>
          <w:rFonts w:asciiTheme="majorHAnsi" w:hAnsiTheme="majorHAnsi"/>
          <w:lang w:val="fr-FR"/>
        </w:rPr>
        <w:t xml:space="preserve"> </w:t>
      </w:r>
      <w:r w:rsidR="00A0476B">
        <w:rPr>
          <w:rFonts w:asciiTheme="majorHAnsi" w:hAnsiTheme="majorHAnsi"/>
          <w:lang w:val="fr-FR"/>
        </w:rPr>
        <w:t>proximité</w:t>
      </w:r>
      <w:r>
        <w:rPr>
          <w:rFonts w:asciiTheme="majorHAnsi" w:hAnsiTheme="majorHAnsi"/>
          <w:lang w:val="fr-FR"/>
        </w:rPr>
        <w:t xml:space="preserve"> de la commune pour le transfert de cash aux </w:t>
      </w:r>
      <w:r w:rsidR="00A0476B">
        <w:rPr>
          <w:rFonts w:asciiTheme="majorHAnsi" w:hAnsiTheme="majorHAnsi"/>
          <w:lang w:val="fr-FR"/>
        </w:rPr>
        <w:t>bénéficiaires</w:t>
      </w:r>
    </w:p>
    <w:p w14:paraId="2BB970AE" w14:textId="0008CA67" w:rsidR="00B62F84" w:rsidRDefault="00A0476B" w:rsidP="00C02CE1">
      <w:pPr>
        <w:pStyle w:val="ListParagraph"/>
        <w:numPr>
          <w:ilvl w:val="0"/>
          <w:numId w:val="9"/>
        </w:numPr>
        <w:jc w:val="both"/>
        <w:rPr>
          <w:rFonts w:asciiTheme="majorHAnsi" w:hAnsiTheme="majorHAnsi"/>
          <w:lang w:val="fr-FR"/>
        </w:rPr>
      </w:pPr>
      <w:r>
        <w:rPr>
          <w:rFonts w:asciiTheme="majorHAnsi" w:hAnsiTheme="majorHAnsi"/>
          <w:lang w:val="fr-FR"/>
        </w:rPr>
        <w:t>Garantir que les espaces utilisés pour le transfert de cash aux bénéficiaires soient accessibles et respectent les règles minimales de sécurité</w:t>
      </w:r>
      <w:r w:rsidR="005167E2">
        <w:rPr>
          <w:rFonts w:asciiTheme="majorHAnsi" w:hAnsiTheme="majorHAnsi"/>
          <w:lang w:val="fr-FR"/>
        </w:rPr>
        <w:t xml:space="preserve"> </w:t>
      </w:r>
    </w:p>
    <w:p w14:paraId="0C08A921" w14:textId="24E95FC2" w:rsidR="00B62F84" w:rsidRDefault="00A0476B" w:rsidP="00C02CE1">
      <w:pPr>
        <w:pStyle w:val="ListParagraph"/>
        <w:numPr>
          <w:ilvl w:val="0"/>
          <w:numId w:val="9"/>
        </w:numPr>
        <w:jc w:val="both"/>
        <w:rPr>
          <w:rFonts w:asciiTheme="majorHAnsi" w:hAnsiTheme="majorHAnsi"/>
          <w:lang w:val="fr-FR"/>
        </w:rPr>
      </w:pPr>
      <w:r>
        <w:rPr>
          <w:rFonts w:asciiTheme="majorHAnsi" w:hAnsiTheme="majorHAnsi"/>
          <w:lang w:val="fr-FR"/>
        </w:rPr>
        <w:t xml:space="preserve">Recevoir les bénéficiaires avec respect et dignité </w:t>
      </w:r>
    </w:p>
    <w:p w14:paraId="08BC85F5" w14:textId="22BF1A5B" w:rsidR="00A0476B" w:rsidRDefault="00A0476B" w:rsidP="00C02CE1">
      <w:pPr>
        <w:pStyle w:val="ListParagraph"/>
        <w:numPr>
          <w:ilvl w:val="0"/>
          <w:numId w:val="9"/>
        </w:numPr>
        <w:jc w:val="both"/>
        <w:rPr>
          <w:rFonts w:asciiTheme="majorHAnsi" w:hAnsiTheme="majorHAnsi"/>
          <w:lang w:val="fr-FR"/>
        </w:rPr>
      </w:pPr>
      <w:r>
        <w:rPr>
          <w:rFonts w:asciiTheme="majorHAnsi" w:hAnsiTheme="majorHAnsi"/>
          <w:lang w:val="fr-FR"/>
        </w:rPr>
        <w:t>Assurer les transferts de cash aux bénéficiaires selon les listes communiquées par Concern Worldwide</w:t>
      </w:r>
    </w:p>
    <w:p w14:paraId="1CF81699" w14:textId="304585CC" w:rsidR="00B62F84" w:rsidRDefault="00A0476B" w:rsidP="00C02CE1">
      <w:pPr>
        <w:pStyle w:val="ListParagraph"/>
        <w:numPr>
          <w:ilvl w:val="0"/>
          <w:numId w:val="9"/>
        </w:numPr>
        <w:jc w:val="both"/>
        <w:rPr>
          <w:rFonts w:asciiTheme="majorHAnsi" w:hAnsiTheme="majorHAnsi"/>
          <w:lang w:val="fr-FR"/>
        </w:rPr>
      </w:pPr>
      <w:r>
        <w:rPr>
          <w:rFonts w:asciiTheme="majorHAnsi" w:hAnsiTheme="majorHAnsi"/>
          <w:lang w:val="fr-FR"/>
        </w:rPr>
        <w:lastRenderedPageBreak/>
        <w:t xml:space="preserve">Fournir à Concern Worldwide un bordereau de paiement pour chaque transfert, signé par le bénéficiaire </w:t>
      </w:r>
    </w:p>
    <w:p w14:paraId="7390F0E7" w14:textId="70FBFFB0" w:rsidR="007645C8" w:rsidRPr="00692B04" w:rsidRDefault="00B62F84" w:rsidP="00A0476B">
      <w:pPr>
        <w:pStyle w:val="ListParagraph"/>
        <w:numPr>
          <w:ilvl w:val="0"/>
          <w:numId w:val="9"/>
        </w:numPr>
        <w:jc w:val="both"/>
        <w:rPr>
          <w:rFonts w:asciiTheme="majorHAnsi" w:hAnsiTheme="majorHAnsi"/>
          <w:lang w:val="fr-FR"/>
        </w:rPr>
      </w:pPr>
      <w:r w:rsidRPr="00B62F84">
        <w:rPr>
          <w:rFonts w:asciiTheme="majorHAnsi" w:hAnsiTheme="majorHAnsi"/>
          <w:lang w:val="fr-FR"/>
        </w:rPr>
        <w:t>Fournir les</w:t>
      </w:r>
      <w:r w:rsidR="00A0476B">
        <w:rPr>
          <w:rFonts w:asciiTheme="majorHAnsi" w:hAnsiTheme="majorHAnsi"/>
          <w:lang w:val="fr-FR"/>
        </w:rPr>
        <w:t xml:space="preserve"> rapports mensuels des transferts réalisés</w:t>
      </w:r>
      <w:r w:rsidRPr="00B62F84">
        <w:rPr>
          <w:rFonts w:asciiTheme="majorHAnsi" w:hAnsiTheme="majorHAnsi"/>
          <w:lang w:val="fr-FR"/>
        </w:rPr>
        <w:t xml:space="preserve"> </w:t>
      </w:r>
    </w:p>
    <w:p w14:paraId="1B331CBB" w14:textId="3C785935" w:rsidR="007645C8" w:rsidRPr="00692B0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Respecter les termes du contrat établi sur la base de ces Termes de référence </w:t>
      </w:r>
    </w:p>
    <w:p w14:paraId="7C75E29D" w14:textId="77777777" w:rsidR="0045310F" w:rsidRPr="00692B04" w:rsidRDefault="0045310F"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Agir de bonne foi et ne point apporter de modifications inconsidérées au contrat</w:t>
      </w:r>
    </w:p>
    <w:p w14:paraId="2C991C4C" w14:textId="77777777" w:rsidR="0045310F" w:rsidRPr="00356D0A" w:rsidRDefault="0045310F" w:rsidP="00356D0A">
      <w:pPr>
        <w:pStyle w:val="ListParagraph"/>
        <w:spacing w:after="200" w:line="276" w:lineRule="auto"/>
        <w:ind w:left="1080"/>
        <w:jc w:val="both"/>
        <w:rPr>
          <w:rFonts w:asciiTheme="majorHAnsi" w:eastAsia="Calibri" w:hAnsiTheme="majorHAnsi" w:cs="Times New Roman"/>
          <w:lang w:val="fr-FR"/>
        </w:rPr>
      </w:pPr>
    </w:p>
    <w:p w14:paraId="1C7C4A6E" w14:textId="77777777" w:rsidR="007645C8" w:rsidRPr="00356D0A" w:rsidRDefault="007645C8" w:rsidP="007645C8">
      <w:pPr>
        <w:jc w:val="both"/>
        <w:rPr>
          <w:rFonts w:asciiTheme="majorHAnsi" w:eastAsia="Calibri" w:hAnsiTheme="majorHAnsi" w:cstheme="minorHAnsi"/>
          <w:b/>
        </w:rPr>
      </w:pPr>
      <w:r w:rsidRPr="00356D0A">
        <w:rPr>
          <w:rFonts w:asciiTheme="majorHAnsi" w:eastAsia="Calibri" w:hAnsiTheme="majorHAnsi" w:cstheme="minorHAnsi"/>
          <w:b/>
        </w:rPr>
        <w:t xml:space="preserve">Concern </w:t>
      </w:r>
      <w:proofErr w:type="spellStart"/>
      <w:r w:rsidRPr="00356D0A">
        <w:rPr>
          <w:rFonts w:asciiTheme="majorHAnsi" w:eastAsia="Calibri" w:hAnsiTheme="majorHAnsi" w:cstheme="minorHAnsi"/>
          <w:b/>
        </w:rPr>
        <w:t>s’engagera</w:t>
      </w:r>
      <w:proofErr w:type="spellEnd"/>
      <w:r w:rsidRPr="00356D0A">
        <w:rPr>
          <w:rFonts w:asciiTheme="majorHAnsi" w:eastAsia="Calibri" w:hAnsiTheme="majorHAnsi" w:cstheme="minorHAnsi"/>
          <w:b/>
        </w:rPr>
        <w:t xml:space="preserve"> à:</w:t>
      </w:r>
    </w:p>
    <w:p w14:paraId="67402AD6" w14:textId="2C57A1EA" w:rsidR="007645C8"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 xml:space="preserve">Partager </w:t>
      </w:r>
      <w:r w:rsidR="00A0476B">
        <w:rPr>
          <w:rFonts w:asciiTheme="majorHAnsi" w:hAnsiTheme="majorHAnsi"/>
          <w:lang w:val="fr-FR"/>
        </w:rPr>
        <w:t>les listes des bénéficiaires et les montants de transfert correspondants</w:t>
      </w:r>
      <w:r w:rsidRPr="00692B04">
        <w:rPr>
          <w:rFonts w:asciiTheme="majorHAnsi" w:hAnsiTheme="majorHAnsi"/>
          <w:lang w:val="fr-FR"/>
        </w:rPr>
        <w:t xml:space="preserve"> </w:t>
      </w:r>
    </w:p>
    <w:p w14:paraId="202ECEDD" w14:textId="719E482A" w:rsidR="0042603E" w:rsidRDefault="00BC634B" w:rsidP="00C02CE1">
      <w:pPr>
        <w:pStyle w:val="ListParagraph"/>
        <w:numPr>
          <w:ilvl w:val="0"/>
          <w:numId w:val="9"/>
        </w:numPr>
        <w:jc w:val="both"/>
        <w:rPr>
          <w:rFonts w:asciiTheme="majorHAnsi" w:hAnsiTheme="majorHAnsi"/>
          <w:lang w:val="fr-FR"/>
        </w:rPr>
      </w:pPr>
      <w:r>
        <w:rPr>
          <w:rFonts w:asciiTheme="majorHAnsi" w:hAnsiTheme="majorHAnsi"/>
          <w:lang w:val="fr-FR"/>
        </w:rPr>
        <w:t>Rendre disponibles les fonds nécessaires pour les transferts aux bénéficiaires</w:t>
      </w:r>
    </w:p>
    <w:p w14:paraId="604361B3" w14:textId="66975DE4" w:rsidR="00BC634B" w:rsidRPr="00692B04" w:rsidRDefault="00BC634B" w:rsidP="00C02CE1">
      <w:pPr>
        <w:pStyle w:val="ListParagraph"/>
        <w:numPr>
          <w:ilvl w:val="0"/>
          <w:numId w:val="9"/>
        </w:numPr>
        <w:jc w:val="both"/>
        <w:rPr>
          <w:rFonts w:asciiTheme="majorHAnsi" w:hAnsiTheme="majorHAnsi"/>
          <w:lang w:val="fr-FR"/>
        </w:rPr>
      </w:pPr>
      <w:r>
        <w:rPr>
          <w:rFonts w:asciiTheme="majorHAnsi" w:hAnsiTheme="majorHAnsi"/>
          <w:lang w:val="fr-FR"/>
        </w:rPr>
        <w:t xml:space="preserve">Informer les bénéficiaires sur tout le processus et les conditions pour les transferts de cash </w:t>
      </w:r>
    </w:p>
    <w:p w14:paraId="51838AD5" w14:textId="73C567DB" w:rsidR="0045310F" w:rsidRPr="00692B04" w:rsidRDefault="0045310F"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Payer le prix convenu selon la clause du contrat portant sur les modalités de paiement</w:t>
      </w:r>
    </w:p>
    <w:p w14:paraId="656B4786" w14:textId="05D08C0A" w:rsidR="007645C8" w:rsidRPr="00692B0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Agir de bonne foi et ne point apporter de modifications inconsidérées au contrat</w:t>
      </w:r>
    </w:p>
    <w:p w14:paraId="1761BB45" w14:textId="77777777" w:rsidR="00F2229C" w:rsidRPr="00356D0A" w:rsidRDefault="00F2229C" w:rsidP="007645C8">
      <w:pPr>
        <w:pStyle w:val="ListParagraph"/>
        <w:ind w:left="1080"/>
        <w:jc w:val="both"/>
        <w:rPr>
          <w:rFonts w:asciiTheme="majorHAnsi" w:eastAsia="Calibri" w:hAnsiTheme="majorHAnsi" w:cstheme="minorHAnsi"/>
          <w:lang w:val="fr-FR"/>
        </w:rPr>
      </w:pPr>
    </w:p>
    <w:p w14:paraId="202DDF6B" w14:textId="5CD9A324" w:rsidR="0045310F" w:rsidRPr="00356D0A" w:rsidRDefault="0045310F" w:rsidP="00C02CE1">
      <w:pPr>
        <w:pStyle w:val="ListParagraph"/>
        <w:numPr>
          <w:ilvl w:val="0"/>
          <w:numId w:val="1"/>
        </w:numPr>
        <w:jc w:val="both"/>
        <w:rPr>
          <w:rFonts w:asciiTheme="majorHAnsi" w:hAnsiTheme="majorHAnsi" w:cstheme="minorHAnsi"/>
          <w:b/>
          <w:sz w:val="28"/>
          <w:szCs w:val="28"/>
          <w:lang w:val="fr-FR"/>
        </w:rPr>
      </w:pPr>
      <w:r w:rsidRPr="00356D0A">
        <w:rPr>
          <w:rFonts w:asciiTheme="majorHAnsi" w:hAnsiTheme="majorHAnsi" w:cstheme="minorHAnsi"/>
          <w:b/>
          <w:sz w:val="28"/>
          <w:szCs w:val="28"/>
          <w:lang w:val="fr-FR"/>
        </w:rPr>
        <w:t>Sélection de l’expertise</w:t>
      </w:r>
    </w:p>
    <w:p w14:paraId="1AE0C33F" w14:textId="44F580A6" w:rsidR="0045310F" w:rsidRDefault="005568CE" w:rsidP="0045310F">
      <w:pPr>
        <w:jc w:val="both"/>
        <w:rPr>
          <w:rFonts w:asciiTheme="majorHAnsi" w:eastAsia="Calibri" w:hAnsiTheme="majorHAnsi" w:cs="Times New Roman"/>
          <w:lang w:val="fr-FR"/>
        </w:rPr>
      </w:pPr>
      <w:r>
        <w:rPr>
          <w:rFonts w:asciiTheme="majorHAnsi" w:eastAsia="Calibri" w:hAnsiTheme="majorHAnsi" w:cs="Times New Roman"/>
          <w:lang w:val="fr-FR"/>
        </w:rPr>
        <w:t>Le choix de l’Institution de transfert</w:t>
      </w:r>
      <w:r w:rsidR="00C21EBD">
        <w:rPr>
          <w:rFonts w:asciiTheme="majorHAnsi" w:eastAsia="Calibri" w:hAnsiTheme="majorHAnsi" w:cs="Times New Roman"/>
          <w:lang w:val="fr-FR"/>
        </w:rPr>
        <w:t xml:space="preserve"> sera fait sur la base</w:t>
      </w:r>
      <w:r w:rsidR="0045310F" w:rsidRPr="00356D0A">
        <w:rPr>
          <w:rFonts w:asciiTheme="majorHAnsi" w:eastAsia="Calibri" w:hAnsiTheme="majorHAnsi" w:cs="Times New Roman"/>
          <w:lang w:val="fr-FR"/>
        </w:rPr>
        <w:t xml:space="preserve"> des critères suivants :</w:t>
      </w:r>
    </w:p>
    <w:p w14:paraId="7D7BCBCE" w14:textId="3708CBCD" w:rsidR="0007370D" w:rsidRDefault="0007370D" w:rsidP="00C02CE1">
      <w:pPr>
        <w:pStyle w:val="ListParagraph"/>
        <w:numPr>
          <w:ilvl w:val="0"/>
          <w:numId w:val="11"/>
        </w:numPr>
        <w:jc w:val="both"/>
        <w:rPr>
          <w:rFonts w:asciiTheme="majorHAnsi" w:eastAsia="Calibri" w:hAnsiTheme="majorHAnsi" w:cs="Times New Roman"/>
          <w:lang w:val="fr-FR"/>
        </w:rPr>
      </w:pPr>
      <w:r w:rsidRPr="0007370D">
        <w:rPr>
          <w:rFonts w:asciiTheme="majorHAnsi" w:eastAsia="Calibri" w:hAnsiTheme="majorHAnsi" w:cs="Times New Roman"/>
          <w:lang w:val="fr-FR"/>
        </w:rPr>
        <w:t>Avoir une expérience confirmée dans l</w:t>
      </w:r>
      <w:r w:rsidR="005568CE">
        <w:rPr>
          <w:rFonts w:asciiTheme="majorHAnsi" w:eastAsia="Calibri" w:hAnsiTheme="majorHAnsi" w:cs="Times New Roman"/>
          <w:lang w:val="fr-FR"/>
        </w:rPr>
        <w:t>e transfert de cash en milieu urbain</w:t>
      </w:r>
      <w:r w:rsidRPr="0007370D">
        <w:rPr>
          <w:rFonts w:asciiTheme="majorHAnsi" w:eastAsia="Calibri" w:hAnsiTheme="majorHAnsi" w:cs="Times New Roman"/>
          <w:lang w:val="fr-FR"/>
        </w:rPr>
        <w:t xml:space="preserve"> </w:t>
      </w:r>
    </w:p>
    <w:p w14:paraId="597280B7" w14:textId="6140298E" w:rsidR="0007370D" w:rsidRPr="005568CE" w:rsidRDefault="0007370D" w:rsidP="00C02CE1">
      <w:pPr>
        <w:pStyle w:val="ListParagraph"/>
        <w:numPr>
          <w:ilvl w:val="0"/>
          <w:numId w:val="9"/>
        </w:numPr>
        <w:jc w:val="both"/>
        <w:rPr>
          <w:rFonts w:asciiTheme="majorHAnsi" w:hAnsiTheme="majorHAnsi"/>
          <w:lang w:val="fr-FR"/>
        </w:rPr>
      </w:pPr>
      <w:r w:rsidRPr="005568CE">
        <w:rPr>
          <w:rFonts w:asciiTheme="majorHAnsi" w:eastAsia="Calibri" w:hAnsiTheme="majorHAnsi" w:cs="Times New Roman"/>
          <w:lang w:val="fr-FR"/>
        </w:rPr>
        <w:t xml:space="preserve">Avoir des expériences dans </w:t>
      </w:r>
      <w:r w:rsidR="005568CE" w:rsidRPr="005568CE">
        <w:rPr>
          <w:rFonts w:asciiTheme="majorHAnsi" w:eastAsia="Calibri" w:hAnsiTheme="majorHAnsi" w:cs="Times New Roman"/>
          <w:lang w:val="fr-FR"/>
        </w:rPr>
        <w:t xml:space="preserve">le transfert de cash aux bénéficiaires </w:t>
      </w:r>
      <w:r w:rsidR="005568CE">
        <w:rPr>
          <w:rFonts w:asciiTheme="majorHAnsi" w:eastAsia="Calibri" w:hAnsiTheme="majorHAnsi" w:cs="Times New Roman"/>
          <w:lang w:val="fr-FR"/>
        </w:rPr>
        <w:t>d’ONG</w:t>
      </w:r>
    </w:p>
    <w:p w14:paraId="18C0C606" w14:textId="22E09AF9" w:rsidR="0007370D" w:rsidRPr="0007370D" w:rsidRDefault="0007370D"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 xml:space="preserve">Avoir </w:t>
      </w:r>
      <w:r w:rsidR="005568CE">
        <w:rPr>
          <w:rFonts w:asciiTheme="majorHAnsi" w:hAnsiTheme="majorHAnsi"/>
          <w:lang w:val="fr-FR"/>
        </w:rPr>
        <w:t>des bureaux dans la commune de Cite Soleil ou à proximité de la commune</w:t>
      </w:r>
    </w:p>
    <w:p w14:paraId="748702A5" w14:textId="6260D084" w:rsidR="00667574" w:rsidRDefault="00667574"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 xml:space="preserve">Expérience partenariat public et privé </w:t>
      </w:r>
    </w:p>
    <w:p w14:paraId="64FA425E" w14:textId="6AFCD6B1" w:rsidR="003342EE" w:rsidRPr="00692B04" w:rsidRDefault="003342EE" w:rsidP="00C02CE1">
      <w:pPr>
        <w:pStyle w:val="ListParagraph"/>
        <w:numPr>
          <w:ilvl w:val="0"/>
          <w:numId w:val="9"/>
        </w:numPr>
        <w:jc w:val="both"/>
        <w:rPr>
          <w:rFonts w:asciiTheme="majorHAnsi" w:hAnsiTheme="majorHAnsi"/>
          <w:lang w:val="fr-FR"/>
        </w:rPr>
      </w:pPr>
      <w:r>
        <w:rPr>
          <w:rFonts w:asciiTheme="majorHAnsi" w:hAnsiTheme="majorHAnsi"/>
          <w:lang w:val="fr-FR"/>
        </w:rPr>
        <w:t>Disponibilité des ressources (Espace – Personnel)</w:t>
      </w:r>
    </w:p>
    <w:p w14:paraId="0461E09A" w14:textId="43DDF1E7" w:rsidR="0045310F" w:rsidRPr="00692B04" w:rsidRDefault="0045310F"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 xml:space="preserve">Prix de la </w:t>
      </w:r>
      <w:r w:rsidR="0086193C" w:rsidRPr="00692B04">
        <w:rPr>
          <w:rFonts w:asciiTheme="majorHAnsi" w:hAnsiTheme="majorHAnsi"/>
          <w:lang w:val="fr-FR"/>
        </w:rPr>
        <w:t>pro</w:t>
      </w:r>
      <w:r w:rsidR="00F760E2" w:rsidRPr="00692B04">
        <w:rPr>
          <w:rFonts w:asciiTheme="majorHAnsi" w:hAnsiTheme="majorHAnsi"/>
          <w:lang w:val="fr-FR"/>
        </w:rPr>
        <w:t>position</w:t>
      </w:r>
    </w:p>
    <w:p w14:paraId="030DC500" w14:textId="77777777" w:rsidR="00692B04" w:rsidRDefault="00692B04" w:rsidP="00692B04">
      <w:pPr>
        <w:pStyle w:val="ListParagraph"/>
        <w:jc w:val="both"/>
        <w:rPr>
          <w:rFonts w:asciiTheme="majorHAnsi" w:eastAsia="Calibri" w:hAnsiTheme="majorHAnsi" w:cstheme="minorHAnsi"/>
          <w:b/>
          <w:bCs/>
          <w:sz w:val="28"/>
          <w:szCs w:val="28"/>
          <w:lang w:val="fr-FR"/>
        </w:rPr>
      </w:pPr>
    </w:p>
    <w:p w14:paraId="35BFD4E3" w14:textId="693D0BF2" w:rsidR="0086193C" w:rsidRPr="00356D0A" w:rsidRDefault="0086193C" w:rsidP="00C02CE1">
      <w:pPr>
        <w:pStyle w:val="ListParagraph"/>
        <w:numPr>
          <w:ilvl w:val="0"/>
          <w:numId w:val="1"/>
        </w:numPr>
        <w:jc w:val="both"/>
        <w:rPr>
          <w:rFonts w:asciiTheme="majorHAnsi" w:eastAsia="Calibri" w:hAnsiTheme="majorHAnsi" w:cstheme="minorHAnsi"/>
          <w:b/>
          <w:bCs/>
          <w:sz w:val="28"/>
          <w:szCs w:val="28"/>
          <w:lang w:val="fr-FR"/>
        </w:rPr>
      </w:pPr>
      <w:r w:rsidRPr="00356D0A">
        <w:rPr>
          <w:rFonts w:asciiTheme="majorHAnsi" w:eastAsia="Calibri" w:hAnsiTheme="majorHAnsi" w:cstheme="minorHAnsi"/>
          <w:b/>
          <w:bCs/>
          <w:sz w:val="28"/>
          <w:szCs w:val="28"/>
          <w:lang w:val="fr-FR"/>
        </w:rPr>
        <w:t>Lignes de communications</w:t>
      </w:r>
    </w:p>
    <w:p w14:paraId="36399001" w14:textId="78B6E3AC" w:rsidR="003342EE" w:rsidRDefault="003342EE" w:rsidP="003342EE">
      <w:pPr>
        <w:rPr>
          <w:rFonts w:asciiTheme="majorHAnsi" w:hAnsiTheme="majorHAnsi" w:cstheme="minorHAnsi"/>
          <w:b/>
          <w:bCs/>
          <w:color w:val="000000"/>
          <w:sz w:val="28"/>
          <w:szCs w:val="28"/>
          <w:lang w:val="fr-FR"/>
        </w:rPr>
      </w:pPr>
      <w:r>
        <w:rPr>
          <w:rFonts w:asciiTheme="majorHAnsi" w:eastAsia="Calibri" w:hAnsiTheme="majorHAnsi" w:cstheme="minorHAnsi"/>
          <w:lang w:val="fr-FR"/>
        </w:rPr>
        <w:t>Le service sera sous la supervision du</w:t>
      </w:r>
      <w:r w:rsidR="0086193C" w:rsidRPr="00356D0A">
        <w:rPr>
          <w:rFonts w:asciiTheme="majorHAnsi" w:eastAsia="Calibri" w:hAnsiTheme="majorHAnsi" w:cstheme="minorHAnsi"/>
          <w:lang w:val="fr-FR"/>
        </w:rPr>
        <w:t xml:space="preserve"> Gestionnaire des programmes Urbains et aura des liens directs avec le Ge</w:t>
      </w:r>
      <w:r>
        <w:rPr>
          <w:rFonts w:asciiTheme="majorHAnsi" w:eastAsia="Calibri" w:hAnsiTheme="majorHAnsi" w:cstheme="minorHAnsi"/>
          <w:lang w:val="fr-FR"/>
        </w:rPr>
        <w:t xml:space="preserve">stionnaire du projet </w:t>
      </w:r>
      <w:proofErr w:type="spellStart"/>
      <w:r>
        <w:rPr>
          <w:rFonts w:asciiTheme="majorHAnsi" w:eastAsia="Calibri" w:hAnsiTheme="majorHAnsi" w:cstheme="minorHAnsi"/>
          <w:lang w:val="fr-FR"/>
        </w:rPr>
        <w:t>Livelihood</w:t>
      </w:r>
      <w:proofErr w:type="spellEnd"/>
      <w:r>
        <w:rPr>
          <w:rFonts w:asciiTheme="majorHAnsi" w:eastAsia="Calibri" w:hAnsiTheme="majorHAnsi" w:cstheme="minorHAnsi"/>
          <w:lang w:val="fr-FR"/>
        </w:rPr>
        <w:t xml:space="preserve"> et les responsables de la Finance</w:t>
      </w:r>
      <w:r w:rsidR="00E81E8C">
        <w:rPr>
          <w:rFonts w:asciiTheme="majorHAnsi" w:eastAsia="Calibri" w:hAnsiTheme="majorHAnsi" w:cstheme="minorHAnsi"/>
          <w:lang w:val="fr-FR"/>
        </w:rPr>
        <w:br/>
      </w:r>
    </w:p>
    <w:p w14:paraId="1F8E6974" w14:textId="595646FC" w:rsidR="0086193C" w:rsidRPr="00356D0A" w:rsidRDefault="0086193C" w:rsidP="003342EE">
      <w:pPr>
        <w:rPr>
          <w:rFonts w:asciiTheme="majorHAnsi" w:hAnsiTheme="majorHAnsi" w:cstheme="minorHAnsi"/>
          <w:b/>
          <w:bCs/>
          <w:color w:val="000000"/>
          <w:sz w:val="28"/>
          <w:szCs w:val="28"/>
          <w:lang w:val="fr-FR"/>
        </w:rPr>
      </w:pPr>
      <w:r w:rsidRPr="00356D0A">
        <w:rPr>
          <w:rFonts w:asciiTheme="majorHAnsi" w:hAnsiTheme="majorHAnsi" w:cstheme="minorHAnsi"/>
          <w:b/>
          <w:bCs/>
          <w:color w:val="000000"/>
          <w:sz w:val="28"/>
          <w:szCs w:val="28"/>
          <w:lang w:val="fr-FR"/>
        </w:rPr>
        <w:t>Dossier de soumission</w:t>
      </w:r>
    </w:p>
    <w:p w14:paraId="35704482" w14:textId="77777777" w:rsidR="0086193C" w:rsidRPr="00356D0A" w:rsidRDefault="0086193C" w:rsidP="0086193C">
      <w:pPr>
        <w:jc w:val="both"/>
        <w:rPr>
          <w:rFonts w:asciiTheme="majorHAnsi" w:hAnsiTheme="majorHAnsi" w:cstheme="minorHAnsi"/>
          <w:color w:val="000000"/>
          <w:lang w:val="fr-FR"/>
        </w:rPr>
      </w:pPr>
      <w:r w:rsidRPr="00356D0A">
        <w:rPr>
          <w:rFonts w:asciiTheme="majorHAnsi" w:hAnsiTheme="majorHAnsi" w:cstheme="minorHAnsi"/>
          <w:color w:val="000000"/>
          <w:lang w:val="fr-FR"/>
        </w:rPr>
        <w:t>Le document de proposition du Consultant devra être envoyé par courrier électronique et devra comprendre :</w:t>
      </w:r>
    </w:p>
    <w:p w14:paraId="0052C207" w14:textId="52A6324D" w:rsidR="009E258E" w:rsidRPr="003342EE" w:rsidRDefault="0086193C" w:rsidP="003342EE">
      <w:pPr>
        <w:pStyle w:val="ListParagraph"/>
        <w:numPr>
          <w:ilvl w:val="0"/>
          <w:numId w:val="14"/>
        </w:numPr>
        <w:jc w:val="both"/>
        <w:rPr>
          <w:rFonts w:asciiTheme="majorHAnsi" w:hAnsiTheme="majorHAnsi"/>
          <w:lang w:val="fr-FR"/>
        </w:rPr>
      </w:pPr>
      <w:r w:rsidRPr="003342EE">
        <w:rPr>
          <w:rFonts w:asciiTheme="majorHAnsi" w:hAnsiTheme="majorHAnsi"/>
          <w:lang w:val="fr-FR"/>
        </w:rPr>
        <w:t>Une offre technique comprenant les éléments suivants :</w:t>
      </w:r>
    </w:p>
    <w:p w14:paraId="7255F169" w14:textId="5643A687" w:rsidR="00FA734B" w:rsidRPr="0007370D"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Une lettre de soumission dûment signée</w:t>
      </w:r>
    </w:p>
    <w:p w14:paraId="571E6553" w14:textId="621B485C" w:rsidR="00FA734B" w:rsidRPr="0007370D" w:rsidRDefault="00FA734B"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Une</w:t>
      </w:r>
      <w:r w:rsidR="009E258E" w:rsidRPr="0007370D">
        <w:rPr>
          <w:rFonts w:asciiTheme="majorHAnsi" w:hAnsiTheme="majorHAnsi"/>
          <w:lang w:val="fr-FR"/>
        </w:rPr>
        <w:t xml:space="preserve"> proposition technique</w:t>
      </w:r>
    </w:p>
    <w:p w14:paraId="663515EF" w14:textId="0C6EEBFE" w:rsidR="0086193C" w:rsidRPr="0007370D"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Les documents juri</w:t>
      </w:r>
      <w:r w:rsidR="003342EE">
        <w:rPr>
          <w:rFonts w:asciiTheme="majorHAnsi" w:hAnsiTheme="majorHAnsi"/>
          <w:lang w:val="fr-FR"/>
        </w:rPr>
        <w:t>diques et administratifs</w:t>
      </w:r>
    </w:p>
    <w:p w14:paraId="5A582A54" w14:textId="36CDE370" w:rsidR="009E258E" w:rsidRPr="003342EE" w:rsidRDefault="009E258E" w:rsidP="003342EE">
      <w:pPr>
        <w:pStyle w:val="ListParagraph"/>
        <w:numPr>
          <w:ilvl w:val="0"/>
          <w:numId w:val="14"/>
        </w:numPr>
        <w:spacing w:after="0" w:line="240" w:lineRule="auto"/>
        <w:jc w:val="both"/>
        <w:rPr>
          <w:rFonts w:asciiTheme="majorHAnsi" w:hAnsiTheme="majorHAnsi" w:cstheme="minorHAnsi"/>
          <w:color w:val="000000"/>
          <w:lang w:val="fr-FR"/>
        </w:rPr>
      </w:pPr>
      <w:r w:rsidRPr="003342EE">
        <w:rPr>
          <w:rFonts w:asciiTheme="majorHAnsi" w:hAnsiTheme="majorHAnsi" w:cstheme="minorHAnsi"/>
          <w:color w:val="000000"/>
          <w:lang w:val="fr-FR"/>
        </w:rPr>
        <w:t>Une offre financière comprenant les éléments suivants :</w:t>
      </w:r>
    </w:p>
    <w:p w14:paraId="035CD02E" w14:textId="32C8C2C5" w:rsidR="009E258E" w:rsidRPr="0007370D" w:rsidRDefault="009E258E"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Tableau dét</w:t>
      </w:r>
      <w:r w:rsidR="003342EE">
        <w:rPr>
          <w:rFonts w:asciiTheme="majorHAnsi" w:hAnsiTheme="majorHAnsi"/>
          <w:lang w:val="fr-FR"/>
        </w:rPr>
        <w:t>aillé des couts associés aux transferts de cash aux bénéficiaires</w:t>
      </w:r>
    </w:p>
    <w:p w14:paraId="3E90BCBD" w14:textId="77777777" w:rsidR="009E258E" w:rsidRPr="00356D0A" w:rsidRDefault="009E258E" w:rsidP="009E258E">
      <w:pPr>
        <w:pStyle w:val="ListParagraph"/>
        <w:spacing w:after="200" w:line="276" w:lineRule="auto"/>
        <w:jc w:val="both"/>
        <w:rPr>
          <w:rFonts w:asciiTheme="majorHAnsi" w:hAnsiTheme="majorHAnsi" w:cstheme="minorHAnsi"/>
          <w:lang w:val="fr-FR"/>
        </w:rPr>
      </w:pPr>
    </w:p>
    <w:p w14:paraId="73D3D20B" w14:textId="6B39A6C2" w:rsidR="0045310F" w:rsidRDefault="003342EE" w:rsidP="009E258E">
      <w:pPr>
        <w:spacing w:after="0"/>
        <w:jc w:val="both"/>
        <w:rPr>
          <w:rStyle w:val="Hyperlink"/>
          <w:rFonts w:asciiTheme="majorHAnsi" w:hAnsiTheme="majorHAnsi"/>
          <w:u w:val="none"/>
          <w:lang w:val="fr-FR"/>
        </w:rPr>
      </w:pPr>
      <w:r>
        <w:rPr>
          <w:rFonts w:asciiTheme="majorHAnsi" w:hAnsiTheme="majorHAnsi"/>
          <w:lang w:val="fr-FR"/>
        </w:rPr>
        <w:t>Les institutions</w:t>
      </w:r>
      <w:r w:rsidR="0086193C" w:rsidRPr="00356D0A">
        <w:rPr>
          <w:rFonts w:asciiTheme="majorHAnsi" w:hAnsiTheme="majorHAnsi"/>
          <w:lang w:val="fr-FR"/>
        </w:rPr>
        <w:t xml:space="preserve"> intéressées sont invitées à fournir leur dossier de candidature au plus tard le </w:t>
      </w:r>
      <w:r w:rsidR="00CE49E8">
        <w:rPr>
          <w:rFonts w:asciiTheme="majorHAnsi" w:hAnsiTheme="majorHAnsi"/>
          <w:lang w:val="fr-FR"/>
        </w:rPr>
        <w:t>8</w:t>
      </w:r>
      <w:r w:rsidR="009948A2">
        <w:rPr>
          <w:rFonts w:asciiTheme="majorHAnsi" w:hAnsiTheme="majorHAnsi"/>
          <w:lang w:val="fr-FR"/>
        </w:rPr>
        <w:t xml:space="preserve"> septembre</w:t>
      </w:r>
      <w:r w:rsidR="00E81E8C">
        <w:rPr>
          <w:rFonts w:asciiTheme="majorHAnsi" w:hAnsiTheme="majorHAnsi"/>
          <w:lang w:val="fr-FR"/>
        </w:rPr>
        <w:t xml:space="preserve"> </w:t>
      </w:r>
      <w:r w:rsidR="0086193C" w:rsidRPr="00356D0A">
        <w:rPr>
          <w:rFonts w:asciiTheme="majorHAnsi" w:hAnsiTheme="majorHAnsi"/>
          <w:lang w:val="fr-FR"/>
        </w:rPr>
        <w:t>2017, à 4h pm par e-mail à</w:t>
      </w:r>
      <w:r w:rsidR="009E258E" w:rsidRPr="00356D0A">
        <w:rPr>
          <w:rFonts w:asciiTheme="majorHAnsi" w:hAnsiTheme="majorHAnsi"/>
          <w:lang w:val="fr-FR"/>
        </w:rPr>
        <w:t xml:space="preserve">  </w:t>
      </w:r>
      <w:hyperlink r:id="rId9" w:history="1">
        <w:r w:rsidR="009948A2" w:rsidRPr="00253B7B">
          <w:rPr>
            <w:rStyle w:val="Hyperlink"/>
            <w:rFonts w:asciiTheme="majorHAnsi" w:hAnsiTheme="majorHAnsi"/>
            <w:lang w:val="fr-FR"/>
          </w:rPr>
          <w:t>recrutement.haiti@concern.net</w:t>
        </w:r>
      </w:hyperlink>
      <w:r w:rsidR="009948A2">
        <w:rPr>
          <w:rFonts w:asciiTheme="majorHAnsi" w:hAnsiTheme="majorHAnsi"/>
          <w:lang w:val="fr-FR"/>
        </w:rPr>
        <w:t xml:space="preserve"> et </w:t>
      </w:r>
      <w:hyperlink r:id="rId10" w:history="1">
        <w:r w:rsidR="001C55B3" w:rsidRPr="001C55B3">
          <w:rPr>
            <w:rStyle w:val="Hyperlink"/>
            <w:rFonts w:asciiTheme="majorHAnsi" w:hAnsiTheme="majorHAnsi"/>
            <w:lang w:val="fr-FR"/>
          </w:rPr>
          <w:t>haiti.ds@concern.net</w:t>
        </w:r>
      </w:hyperlink>
      <w:r>
        <w:rPr>
          <w:rStyle w:val="Hyperlink"/>
          <w:rFonts w:asciiTheme="majorHAnsi" w:hAnsiTheme="majorHAnsi"/>
          <w:u w:val="none"/>
          <w:lang w:val="fr-FR"/>
        </w:rPr>
        <w:t xml:space="preserve"> </w:t>
      </w:r>
    </w:p>
    <w:p w14:paraId="6335F05F" w14:textId="77777777" w:rsidR="001C55B3" w:rsidRDefault="001C55B3" w:rsidP="009E258E">
      <w:pPr>
        <w:spacing w:after="0"/>
        <w:jc w:val="both"/>
        <w:rPr>
          <w:rStyle w:val="Hyperlink"/>
          <w:rFonts w:asciiTheme="majorHAnsi" w:hAnsiTheme="majorHAnsi"/>
          <w:u w:val="none"/>
          <w:lang w:val="fr-FR"/>
        </w:rPr>
      </w:pPr>
    </w:p>
    <w:p w14:paraId="27535E08" w14:textId="77777777" w:rsidR="001C55B3" w:rsidRDefault="001C55B3" w:rsidP="009E258E">
      <w:pPr>
        <w:spacing w:after="0"/>
        <w:jc w:val="both"/>
        <w:rPr>
          <w:rStyle w:val="Hyperlink"/>
          <w:rFonts w:asciiTheme="majorHAnsi" w:hAnsiTheme="majorHAnsi"/>
          <w:u w:val="none"/>
          <w:lang w:val="fr-FR"/>
        </w:rPr>
      </w:pPr>
    </w:p>
    <w:p w14:paraId="444B1380" w14:textId="5E480306" w:rsidR="001C55B3" w:rsidRPr="00356D0A" w:rsidRDefault="001C55B3" w:rsidP="009E258E">
      <w:pPr>
        <w:spacing w:after="0"/>
        <w:jc w:val="both"/>
        <w:rPr>
          <w:rFonts w:asciiTheme="majorHAnsi" w:hAnsiTheme="majorHAnsi"/>
          <w:b/>
          <w:lang w:val="fr-FR"/>
        </w:rPr>
      </w:pPr>
    </w:p>
    <w:sectPr w:rsidR="001C55B3" w:rsidRPr="00356D0A" w:rsidSect="00C21EBD">
      <w:headerReference w:type="default" r:id="rId11"/>
      <w:footerReference w:type="default" r:id="rId12"/>
      <w:pgSz w:w="11906" w:h="16838"/>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32DCC" w15:done="0"/>
  <w15:commentEx w15:paraId="2A2AB72E" w15:done="0"/>
  <w15:commentEx w15:paraId="716D31AB" w15:done="0"/>
  <w15:commentEx w15:paraId="4DDC2D2A" w15:done="0"/>
  <w15:commentEx w15:paraId="1EDF5F24" w15:done="0"/>
  <w15:commentEx w15:paraId="1D6C9817" w15:done="0"/>
  <w15:commentEx w15:paraId="743379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9FFFC" w14:textId="77777777" w:rsidR="00C202E1" w:rsidRDefault="00C202E1" w:rsidP="008F15F9">
      <w:pPr>
        <w:spacing w:after="0" w:line="240" w:lineRule="auto"/>
      </w:pPr>
      <w:r>
        <w:separator/>
      </w:r>
    </w:p>
  </w:endnote>
  <w:endnote w:type="continuationSeparator" w:id="0">
    <w:p w14:paraId="74D3D5EF" w14:textId="77777777" w:rsidR="00C202E1" w:rsidRDefault="00C202E1" w:rsidP="008F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DB648" w14:textId="77777777" w:rsidR="00983EA9" w:rsidRDefault="00983EA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3799D">
      <w:rPr>
        <w:caps/>
        <w:noProof/>
        <w:color w:val="5B9BD5" w:themeColor="accent1"/>
      </w:rPr>
      <w:t>1</w:t>
    </w:r>
    <w:r>
      <w:rPr>
        <w:caps/>
        <w:noProof/>
        <w:color w:val="5B9BD5" w:themeColor="accent1"/>
      </w:rPr>
      <w:fldChar w:fldCharType="end"/>
    </w:r>
  </w:p>
  <w:p w14:paraId="20846EE7" w14:textId="77777777" w:rsidR="00983EA9" w:rsidRDefault="00983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67A74" w14:textId="77777777" w:rsidR="00C202E1" w:rsidRDefault="00C202E1" w:rsidP="008F15F9">
      <w:pPr>
        <w:spacing w:after="0" w:line="240" w:lineRule="auto"/>
      </w:pPr>
      <w:r>
        <w:separator/>
      </w:r>
    </w:p>
  </w:footnote>
  <w:footnote w:type="continuationSeparator" w:id="0">
    <w:p w14:paraId="63380B79" w14:textId="77777777" w:rsidR="00C202E1" w:rsidRDefault="00C202E1" w:rsidP="008F1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2081E" w14:textId="415BE2E1" w:rsidR="008F15F9" w:rsidRDefault="008F15F9">
    <w:pPr>
      <w:pStyle w:val="Header"/>
    </w:pPr>
    <w:r>
      <w:rPr>
        <w:noProof/>
        <w:lang w:val="en-US"/>
      </w:rPr>
      <w:drawing>
        <wp:inline distT="0" distB="0" distL="0" distR="0" wp14:anchorId="5F594EBF" wp14:editId="25116264">
          <wp:extent cx="1092200" cy="574269"/>
          <wp:effectExtent l="0" t="0" r="0" b="0"/>
          <wp:docPr id="1" name="Picture 1" descr="C:\Users\Hanne.Vrebos\Documents\Logos and templates\Irish Aid\StandardHarp for use abroad\IA_GovLogo_StandardHar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Vrebos\Documents\Logos and templates\Irish Aid\StandardHarp for use abroad\IA_GovLogo_StandardHar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940" cy="583071"/>
                  </a:xfrm>
                  <a:prstGeom prst="rect">
                    <a:avLst/>
                  </a:prstGeom>
                  <a:noFill/>
                  <a:ln>
                    <a:noFill/>
                  </a:ln>
                </pic:spPr>
              </pic:pic>
            </a:graphicData>
          </a:graphic>
        </wp:inline>
      </w:drawing>
    </w:r>
    <w:r>
      <w:ptab w:relativeTo="margin" w:alignment="center" w:leader="none"/>
    </w:r>
    <w:r>
      <w:ptab w:relativeTo="margin" w:alignment="right" w:leader="none"/>
    </w:r>
    <w:r>
      <w:rPr>
        <w:noProof/>
        <w:lang w:val="en-US"/>
      </w:rPr>
      <w:drawing>
        <wp:inline distT="0" distB="0" distL="0" distR="0" wp14:anchorId="6275B178" wp14:editId="49C31ACF">
          <wp:extent cx="1607192" cy="571844"/>
          <wp:effectExtent l="0" t="0" r="0" b="0"/>
          <wp:docPr id="2" name="Picture 2" descr="C:\Users\Hanne.Vrebos\Documents\Logos and templates\Concern\concern%20worldwid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Vrebos\Documents\Logos and templates\Concern\concern%20worldwide_green.jpg"/>
                  <pic:cNvPicPr>
                    <a:picLocks noChangeAspect="1" noChangeArrowheads="1"/>
                  </pic:cNvPicPr>
                </pic:nvPicPr>
                <pic:blipFill rotWithShape="1">
                  <a:blip r:embed="rId2">
                    <a:extLst>
                      <a:ext uri="{28A0092B-C50C-407E-A947-70E740481C1C}">
                        <a14:useLocalDpi xmlns:a14="http://schemas.microsoft.com/office/drawing/2010/main" val="0"/>
                      </a:ext>
                    </a:extLst>
                  </a:blip>
                  <a:srcRect b="5319"/>
                  <a:stretch/>
                </pic:blipFill>
                <pic:spPr bwMode="auto">
                  <a:xfrm>
                    <a:off x="0" y="0"/>
                    <a:ext cx="1691986" cy="6020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1B7C"/>
    <w:multiLevelType w:val="hybridMultilevel"/>
    <w:tmpl w:val="07ACB5AE"/>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A252895"/>
    <w:multiLevelType w:val="hybridMultilevel"/>
    <w:tmpl w:val="538C8276"/>
    <w:lvl w:ilvl="0" w:tplc="18090015">
      <w:start w:val="1"/>
      <w:numFmt w:val="upperLetter"/>
      <w:lvlText w:val="%1."/>
      <w:lvlJc w:val="left"/>
      <w:pPr>
        <w:tabs>
          <w:tab w:val="num" w:pos="360"/>
        </w:tabs>
        <w:ind w:left="360" w:hanging="360"/>
      </w:pPr>
      <w:rPr>
        <w:rFont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nsid w:val="1F2744FE"/>
    <w:multiLevelType w:val="hybridMultilevel"/>
    <w:tmpl w:val="15EA1CB2"/>
    <w:lvl w:ilvl="0" w:tplc="1809000D">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nsid w:val="22E03529"/>
    <w:multiLevelType w:val="hybridMultilevel"/>
    <w:tmpl w:val="29CCC2DA"/>
    <w:lvl w:ilvl="0" w:tplc="0409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4697D38"/>
    <w:multiLevelType w:val="hybridMultilevel"/>
    <w:tmpl w:val="60B20B28"/>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1A24C5"/>
    <w:multiLevelType w:val="hybridMultilevel"/>
    <w:tmpl w:val="F4A876FA"/>
    <w:lvl w:ilvl="0" w:tplc="609CAF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E44100"/>
    <w:multiLevelType w:val="hybridMultilevel"/>
    <w:tmpl w:val="A45A7BF4"/>
    <w:lvl w:ilvl="0" w:tplc="8E2A7BB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39966187"/>
    <w:multiLevelType w:val="hybridMultilevel"/>
    <w:tmpl w:val="798C5E0C"/>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CE375D2"/>
    <w:multiLevelType w:val="hybridMultilevel"/>
    <w:tmpl w:val="FA3670C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B6C1793"/>
    <w:multiLevelType w:val="hybridMultilevel"/>
    <w:tmpl w:val="BA3298D8"/>
    <w:lvl w:ilvl="0" w:tplc="BE86CCD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6C4BFDC">
      <w:start w:val="3"/>
      <w:numFmt w:val="decimal"/>
      <w:lvlText w:val="%3."/>
      <w:lvlJc w:val="left"/>
      <w:pPr>
        <w:ind w:left="2340" w:hanging="360"/>
      </w:pPr>
      <w:rPr>
        <w:rFonts w:hint="default"/>
        <w:b/>
        <w:sz w:val="24"/>
      </w:rPr>
    </w:lvl>
    <w:lvl w:ilvl="3" w:tplc="20A0DFAE">
      <w:start w:val="1"/>
      <w:numFmt w:val="upperLetter"/>
      <w:lvlText w:val="%4)"/>
      <w:lvlJc w:val="left"/>
      <w:pPr>
        <w:ind w:left="2880" w:hanging="360"/>
      </w:pPr>
      <w:rPr>
        <w:rFonts w:hint="default"/>
        <w:u w:val="single"/>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625767D"/>
    <w:multiLevelType w:val="hybridMultilevel"/>
    <w:tmpl w:val="C0DC7220"/>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68A71821"/>
    <w:multiLevelType w:val="hybridMultilevel"/>
    <w:tmpl w:val="A8402C54"/>
    <w:lvl w:ilvl="0" w:tplc="18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E4F2D90"/>
    <w:multiLevelType w:val="hybridMultilevel"/>
    <w:tmpl w:val="AC467028"/>
    <w:lvl w:ilvl="0" w:tplc="BE86CCDE">
      <w:start w:val="1"/>
      <w:numFmt w:val="decimal"/>
      <w:lvlText w:val="%1-"/>
      <w:lvlJc w:val="left"/>
      <w:pPr>
        <w:ind w:left="1495"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A752BC"/>
    <w:multiLevelType w:val="hybridMultilevel"/>
    <w:tmpl w:val="0942A0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9"/>
  </w:num>
  <w:num w:numId="5">
    <w:abstractNumId w:val="13"/>
  </w:num>
  <w:num w:numId="6">
    <w:abstractNumId w:val="6"/>
  </w:num>
  <w:num w:numId="7">
    <w:abstractNumId w:val="1"/>
  </w:num>
  <w:num w:numId="8">
    <w:abstractNumId w:val="10"/>
  </w:num>
  <w:num w:numId="9">
    <w:abstractNumId w:val="3"/>
  </w:num>
  <w:num w:numId="10">
    <w:abstractNumId w:val="7"/>
  </w:num>
  <w:num w:numId="11">
    <w:abstractNumId w:val="0"/>
  </w:num>
  <w:num w:numId="12">
    <w:abstractNumId w:val="11"/>
  </w:num>
  <w:num w:numId="13">
    <w:abstractNumId w:val="2"/>
  </w:num>
  <w:num w:numId="14">
    <w:abstractNumId w:va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Foster">
    <w15:presenceInfo w15:providerId="AD" w15:userId="S-1-5-21-1314936129-2815895391-1036861029-3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7E"/>
    <w:rsid w:val="00007EF3"/>
    <w:rsid w:val="00011223"/>
    <w:rsid w:val="000278A9"/>
    <w:rsid w:val="0003799D"/>
    <w:rsid w:val="0004337E"/>
    <w:rsid w:val="00045EA9"/>
    <w:rsid w:val="00065178"/>
    <w:rsid w:val="000676E4"/>
    <w:rsid w:val="0007370D"/>
    <w:rsid w:val="000A1312"/>
    <w:rsid w:val="000B604F"/>
    <w:rsid w:val="000C7C2F"/>
    <w:rsid w:val="000E2C15"/>
    <w:rsid w:val="000F4C9A"/>
    <w:rsid w:val="00141A45"/>
    <w:rsid w:val="00142D85"/>
    <w:rsid w:val="001452C6"/>
    <w:rsid w:val="00182D0E"/>
    <w:rsid w:val="00187873"/>
    <w:rsid w:val="00190209"/>
    <w:rsid w:val="0019082B"/>
    <w:rsid w:val="001A2E05"/>
    <w:rsid w:val="001A7BA2"/>
    <w:rsid w:val="001C48D3"/>
    <w:rsid w:val="001C55B3"/>
    <w:rsid w:val="001C7A99"/>
    <w:rsid w:val="001F7635"/>
    <w:rsid w:val="00207EC2"/>
    <w:rsid w:val="00210472"/>
    <w:rsid w:val="00221FE3"/>
    <w:rsid w:val="00231523"/>
    <w:rsid w:val="002317A5"/>
    <w:rsid w:val="0025085E"/>
    <w:rsid w:val="00255900"/>
    <w:rsid w:val="002739E4"/>
    <w:rsid w:val="002A4254"/>
    <w:rsid w:val="002C06EA"/>
    <w:rsid w:val="002C4FC7"/>
    <w:rsid w:val="00300570"/>
    <w:rsid w:val="003249D7"/>
    <w:rsid w:val="003342EE"/>
    <w:rsid w:val="00335EEB"/>
    <w:rsid w:val="00353517"/>
    <w:rsid w:val="00356D0A"/>
    <w:rsid w:val="00357E0C"/>
    <w:rsid w:val="0036044E"/>
    <w:rsid w:val="00362CCE"/>
    <w:rsid w:val="00381E52"/>
    <w:rsid w:val="0039456B"/>
    <w:rsid w:val="00396777"/>
    <w:rsid w:val="003A4B0C"/>
    <w:rsid w:val="003D6292"/>
    <w:rsid w:val="003E116F"/>
    <w:rsid w:val="003E7FA9"/>
    <w:rsid w:val="004025D4"/>
    <w:rsid w:val="0042603E"/>
    <w:rsid w:val="0045310F"/>
    <w:rsid w:val="00455202"/>
    <w:rsid w:val="004640B1"/>
    <w:rsid w:val="004A5C41"/>
    <w:rsid w:val="004B6C45"/>
    <w:rsid w:val="004D269A"/>
    <w:rsid w:val="004E5C80"/>
    <w:rsid w:val="004E71DE"/>
    <w:rsid w:val="004F35C9"/>
    <w:rsid w:val="004F45A3"/>
    <w:rsid w:val="005167E2"/>
    <w:rsid w:val="005346F9"/>
    <w:rsid w:val="00547579"/>
    <w:rsid w:val="005568CE"/>
    <w:rsid w:val="00566D90"/>
    <w:rsid w:val="00572821"/>
    <w:rsid w:val="00576188"/>
    <w:rsid w:val="00582EB3"/>
    <w:rsid w:val="005D7A72"/>
    <w:rsid w:val="005F502C"/>
    <w:rsid w:val="00604C79"/>
    <w:rsid w:val="00607B09"/>
    <w:rsid w:val="00615AF1"/>
    <w:rsid w:val="00617EAB"/>
    <w:rsid w:val="006251CC"/>
    <w:rsid w:val="00642958"/>
    <w:rsid w:val="00667574"/>
    <w:rsid w:val="00670ABD"/>
    <w:rsid w:val="00670FFD"/>
    <w:rsid w:val="00692B04"/>
    <w:rsid w:val="006A0434"/>
    <w:rsid w:val="006E3ED3"/>
    <w:rsid w:val="007169E4"/>
    <w:rsid w:val="0073347A"/>
    <w:rsid w:val="00737D55"/>
    <w:rsid w:val="00750D0B"/>
    <w:rsid w:val="007645C8"/>
    <w:rsid w:val="00766222"/>
    <w:rsid w:val="00767173"/>
    <w:rsid w:val="00785631"/>
    <w:rsid w:val="007A0A24"/>
    <w:rsid w:val="007C22D8"/>
    <w:rsid w:val="007D0568"/>
    <w:rsid w:val="007E4E5E"/>
    <w:rsid w:val="007F05E8"/>
    <w:rsid w:val="0080752B"/>
    <w:rsid w:val="008123BC"/>
    <w:rsid w:val="008463E9"/>
    <w:rsid w:val="0086193C"/>
    <w:rsid w:val="00891CB2"/>
    <w:rsid w:val="008B47EB"/>
    <w:rsid w:val="008D1EFB"/>
    <w:rsid w:val="008D37B9"/>
    <w:rsid w:val="008D3D74"/>
    <w:rsid w:val="008E4DE7"/>
    <w:rsid w:val="008F15F9"/>
    <w:rsid w:val="009315C1"/>
    <w:rsid w:val="00943F77"/>
    <w:rsid w:val="009532D9"/>
    <w:rsid w:val="00983EA9"/>
    <w:rsid w:val="00984D0D"/>
    <w:rsid w:val="009948A2"/>
    <w:rsid w:val="00997B4C"/>
    <w:rsid w:val="009B3336"/>
    <w:rsid w:val="009E258E"/>
    <w:rsid w:val="009E4293"/>
    <w:rsid w:val="00A0476B"/>
    <w:rsid w:val="00A12363"/>
    <w:rsid w:val="00A37F13"/>
    <w:rsid w:val="00A67713"/>
    <w:rsid w:val="00A83A3D"/>
    <w:rsid w:val="00A862E0"/>
    <w:rsid w:val="00AC385F"/>
    <w:rsid w:val="00AD2C44"/>
    <w:rsid w:val="00AE2B56"/>
    <w:rsid w:val="00AE331E"/>
    <w:rsid w:val="00AE4366"/>
    <w:rsid w:val="00B24133"/>
    <w:rsid w:val="00B33E6F"/>
    <w:rsid w:val="00B36773"/>
    <w:rsid w:val="00B45252"/>
    <w:rsid w:val="00B54F6A"/>
    <w:rsid w:val="00B62F84"/>
    <w:rsid w:val="00B63FBB"/>
    <w:rsid w:val="00B77335"/>
    <w:rsid w:val="00B8111F"/>
    <w:rsid w:val="00BC634B"/>
    <w:rsid w:val="00BE618D"/>
    <w:rsid w:val="00C02CE1"/>
    <w:rsid w:val="00C14A5D"/>
    <w:rsid w:val="00C202E1"/>
    <w:rsid w:val="00C21EBD"/>
    <w:rsid w:val="00C25678"/>
    <w:rsid w:val="00CA0B7F"/>
    <w:rsid w:val="00CB6B7E"/>
    <w:rsid w:val="00CC4E73"/>
    <w:rsid w:val="00CE030E"/>
    <w:rsid w:val="00CE49E8"/>
    <w:rsid w:val="00CF2346"/>
    <w:rsid w:val="00CF369D"/>
    <w:rsid w:val="00D24949"/>
    <w:rsid w:val="00D263FF"/>
    <w:rsid w:val="00D41BE0"/>
    <w:rsid w:val="00D63B4A"/>
    <w:rsid w:val="00D74341"/>
    <w:rsid w:val="00D759CC"/>
    <w:rsid w:val="00D85094"/>
    <w:rsid w:val="00D874FD"/>
    <w:rsid w:val="00D960AA"/>
    <w:rsid w:val="00DA6E65"/>
    <w:rsid w:val="00DB2FE3"/>
    <w:rsid w:val="00DB354D"/>
    <w:rsid w:val="00DC27DC"/>
    <w:rsid w:val="00DD456C"/>
    <w:rsid w:val="00DE01DA"/>
    <w:rsid w:val="00E073F4"/>
    <w:rsid w:val="00E110AB"/>
    <w:rsid w:val="00E325A3"/>
    <w:rsid w:val="00E4311F"/>
    <w:rsid w:val="00E449A8"/>
    <w:rsid w:val="00E471E6"/>
    <w:rsid w:val="00E654D8"/>
    <w:rsid w:val="00E67CD1"/>
    <w:rsid w:val="00E712AE"/>
    <w:rsid w:val="00E81E8C"/>
    <w:rsid w:val="00E83F26"/>
    <w:rsid w:val="00EA694C"/>
    <w:rsid w:val="00EB0D3A"/>
    <w:rsid w:val="00EC6094"/>
    <w:rsid w:val="00ED48CE"/>
    <w:rsid w:val="00ED4D69"/>
    <w:rsid w:val="00F06195"/>
    <w:rsid w:val="00F10469"/>
    <w:rsid w:val="00F2229C"/>
    <w:rsid w:val="00F31237"/>
    <w:rsid w:val="00F51AAF"/>
    <w:rsid w:val="00F51BB0"/>
    <w:rsid w:val="00F61765"/>
    <w:rsid w:val="00F638F7"/>
    <w:rsid w:val="00F66902"/>
    <w:rsid w:val="00F74FD8"/>
    <w:rsid w:val="00F760E2"/>
    <w:rsid w:val="00F7773F"/>
    <w:rsid w:val="00FA4586"/>
    <w:rsid w:val="00FA734B"/>
    <w:rsid w:val="00FB45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C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haiti.ds@concern.net" TargetMode="External"/><Relationship Id="rId4" Type="http://schemas.microsoft.com/office/2007/relationships/stylesWithEffects" Target="stylesWithEffects.xml"/><Relationship Id="rId9" Type="http://schemas.openxmlformats.org/officeDocument/2006/relationships/hyperlink" Target="mailto:recrutement.haiti@concern.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D63A-8DB9-4F82-8871-57155359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Vrebos</dc:creator>
  <cp:lastModifiedBy>Arnante Noel</cp:lastModifiedBy>
  <cp:revision>2</cp:revision>
  <cp:lastPrinted>2017-05-17T12:06:00Z</cp:lastPrinted>
  <dcterms:created xsi:type="dcterms:W3CDTF">2017-08-25T17:21:00Z</dcterms:created>
  <dcterms:modified xsi:type="dcterms:W3CDTF">2017-08-25T17:21:00Z</dcterms:modified>
</cp:coreProperties>
</file>