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01" w:rsidRPr="000E238C" w:rsidRDefault="00413E01" w:rsidP="00413E01">
      <w:pPr>
        <w:jc w:val="center"/>
        <w:rPr>
          <w:sz w:val="40"/>
        </w:rPr>
      </w:pPr>
      <w:r w:rsidRPr="000E238C">
        <w:rPr>
          <w:sz w:val="40"/>
        </w:rPr>
        <w:t>Annexe</w:t>
      </w:r>
    </w:p>
    <w:p w:rsidR="00413E01" w:rsidRDefault="00413E01" w:rsidP="00413E01">
      <w:pPr>
        <w:ind w:right="-1065"/>
        <w:jc w:val="center"/>
        <w:rPr>
          <w:b/>
          <w:szCs w:val="24"/>
        </w:rPr>
      </w:pPr>
      <w:bookmarkStart w:id="0" w:name="_Toc77392477"/>
      <w:r w:rsidRPr="000E238C">
        <w:rPr>
          <w:b/>
          <w:szCs w:val="24"/>
        </w:rPr>
        <w:t>AVIS D’APPEL D’OFFRES NATIONAL (AON)</w:t>
      </w:r>
    </w:p>
    <w:p w:rsidR="00413E01" w:rsidRDefault="00413E01" w:rsidP="00413E01">
      <w:pPr>
        <w:ind w:right="-1065"/>
        <w:jc w:val="center"/>
        <w:rPr>
          <w:b/>
          <w:szCs w:val="24"/>
        </w:rPr>
      </w:pPr>
    </w:p>
    <w:p w:rsidR="00413E01" w:rsidRPr="000E238C" w:rsidRDefault="00413E01" w:rsidP="00413E01">
      <w:pPr>
        <w:ind w:right="-1065"/>
        <w:jc w:val="center"/>
        <w:rPr>
          <w:b/>
          <w:szCs w:val="24"/>
        </w:rPr>
      </w:pPr>
    </w:p>
    <w:bookmarkEnd w:id="0"/>
    <w:p w:rsidR="00413E01" w:rsidRPr="00545CE4" w:rsidRDefault="00413E01" w:rsidP="00413E01">
      <w:pPr>
        <w:jc w:val="center"/>
        <w:rPr>
          <w:rFonts w:ascii="Book Antiqua" w:hAnsi="Book Antiqua"/>
          <w:b/>
        </w:rPr>
      </w:pPr>
      <w:r w:rsidRPr="00545CE4">
        <w:rPr>
          <w:rFonts w:ascii="Book Antiqua" w:hAnsi="Book Antiqua"/>
          <w:b/>
        </w:rPr>
        <w:t>FONDS D’ASSISTANCE ÉCONOMIQUE ET SOCIALE</w:t>
      </w:r>
    </w:p>
    <w:p w:rsidR="00413E01" w:rsidRPr="00545CE4" w:rsidRDefault="00413E01" w:rsidP="00413E01">
      <w:pPr>
        <w:jc w:val="center"/>
        <w:rPr>
          <w:rFonts w:ascii="Book Antiqua" w:hAnsi="Book Antiqua"/>
          <w:b/>
        </w:rPr>
      </w:pPr>
      <w:r w:rsidRPr="00545CE4">
        <w:rPr>
          <w:rFonts w:ascii="Book Antiqua" w:hAnsi="Book Antiqua"/>
          <w:b/>
        </w:rPr>
        <w:t>(FAES)</w:t>
      </w:r>
    </w:p>
    <w:p w:rsidR="00413E01" w:rsidRPr="000E238C" w:rsidRDefault="00413E01" w:rsidP="00413E01">
      <w:pPr>
        <w:jc w:val="center"/>
        <w:rPr>
          <w:b/>
          <w:iCs/>
        </w:rPr>
      </w:pPr>
      <w:r w:rsidRPr="000E238C">
        <w:rPr>
          <w:b/>
          <w:iCs/>
        </w:rPr>
        <w:t>Haïti</w:t>
      </w:r>
    </w:p>
    <w:p w:rsidR="00413E01" w:rsidRPr="000E238C" w:rsidRDefault="00413E01" w:rsidP="00413E01">
      <w:pPr>
        <w:jc w:val="center"/>
        <w:rPr>
          <w:b/>
          <w:bCs/>
          <w:iCs/>
        </w:rPr>
      </w:pPr>
    </w:p>
    <w:p w:rsidR="00413E01" w:rsidRPr="000E238C" w:rsidRDefault="00413E01" w:rsidP="00413E01">
      <w:pPr>
        <w:jc w:val="center"/>
        <w:rPr>
          <w:b/>
          <w:bCs/>
          <w:iCs/>
        </w:rPr>
      </w:pPr>
      <w:r w:rsidRPr="000E238C">
        <w:rPr>
          <w:b/>
          <w:bCs/>
          <w:iCs/>
        </w:rPr>
        <w:t>Projet de développement et de mise en œuvre du Registre Social Unifié (RSU)</w:t>
      </w:r>
    </w:p>
    <w:p w:rsidR="00413E01" w:rsidRPr="000E238C" w:rsidRDefault="00413E01" w:rsidP="00413E01">
      <w:pPr>
        <w:jc w:val="center"/>
        <w:rPr>
          <w:b/>
          <w:bCs/>
          <w:iCs/>
        </w:rPr>
      </w:pPr>
    </w:p>
    <w:p w:rsidR="00413E01" w:rsidRPr="00362F7B" w:rsidRDefault="00413E01" w:rsidP="00413E01">
      <w:pPr>
        <w:jc w:val="center"/>
        <w:rPr>
          <w:b/>
          <w:bCs/>
          <w:iCs/>
          <w:sz w:val="28"/>
          <w:szCs w:val="28"/>
          <w:lang w:val="en-US"/>
        </w:rPr>
      </w:pPr>
      <w:r w:rsidRPr="00362F7B">
        <w:rPr>
          <w:b/>
          <w:iCs/>
          <w:sz w:val="28"/>
          <w:szCs w:val="28"/>
        </w:rPr>
        <w:t>AON/2017/PASMISSI/FAES/</w:t>
      </w:r>
      <w:r w:rsidR="00981C96">
        <w:rPr>
          <w:b/>
          <w:iCs/>
          <w:sz w:val="28"/>
          <w:szCs w:val="28"/>
        </w:rPr>
        <w:t>B-</w:t>
      </w:r>
      <w:r w:rsidRPr="00362F7B">
        <w:rPr>
          <w:b/>
          <w:iCs/>
          <w:sz w:val="28"/>
          <w:szCs w:val="28"/>
        </w:rPr>
        <w:t>003</w:t>
      </w:r>
    </w:p>
    <w:p w:rsidR="00413E01" w:rsidRPr="000E238C" w:rsidRDefault="00413E01" w:rsidP="00413E01">
      <w:pPr>
        <w:numPr>
          <w:ilvl w:val="0"/>
          <w:numId w:val="4"/>
        </w:numPr>
        <w:ind w:left="709" w:hanging="349"/>
        <w:jc w:val="both"/>
        <w:rPr>
          <w:bCs/>
          <w:iCs/>
        </w:rPr>
      </w:pPr>
      <w:r w:rsidRPr="000E238C">
        <w:t>Le Gouvernement</w:t>
      </w:r>
      <w:r>
        <w:t xml:space="preserve"> de la République</w:t>
      </w:r>
      <w:r w:rsidRPr="000E238C">
        <w:t xml:space="preserve"> d’Haïti a reçu un don de l’Association Internationale pour le Développement (IDA)  pour financer</w:t>
      </w:r>
      <w:r w:rsidRPr="000E238C">
        <w:rPr>
          <w:iCs/>
        </w:rPr>
        <w:t xml:space="preserve"> </w:t>
      </w:r>
      <w:r w:rsidRPr="000E238C">
        <w:t>le Programme d’Amélioration de la Santé Maternelle et Infantile au travers de Services Sociaux Intégrés (PASMISSI)</w:t>
      </w:r>
      <w:r w:rsidRPr="000E238C">
        <w:rPr>
          <w:iCs/>
        </w:rPr>
        <w:t>,</w:t>
      </w:r>
      <w:r w:rsidRPr="000E238C">
        <w:t xml:space="preserve"> et a l’intention d’utiliser une partie de ce Don  pour effectuer des paiements au titre du Marché </w:t>
      </w:r>
      <w:r w:rsidRPr="000E238C">
        <w:rPr>
          <w:iCs/>
          <w:szCs w:val="24"/>
        </w:rPr>
        <w:t>AON/2017/PASMISSI/FAES/</w:t>
      </w:r>
      <w:r w:rsidR="006B3BE6">
        <w:rPr>
          <w:iCs/>
          <w:szCs w:val="24"/>
        </w:rPr>
        <w:t>B-</w:t>
      </w:r>
      <w:r w:rsidRPr="000E238C">
        <w:rPr>
          <w:iCs/>
          <w:szCs w:val="24"/>
        </w:rPr>
        <w:t>003</w:t>
      </w:r>
      <w:r w:rsidRPr="000E238C">
        <w:rPr>
          <w:bCs/>
          <w:iCs/>
        </w:rPr>
        <w:t xml:space="preserve"> relatif à l’acquisition d’équipements et de logiciels informatiques pour le développement et la mise en œuvre d’un registre social unifié</w:t>
      </w:r>
    </w:p>
    <w:p w:rsidR="00413E01" w:rsidRPr="000E238C" w:rsidRDefault="00413E01" w:rsidP="00413E01">
      <w:pPr>
        <w:rPr>
          <w:bCs/>
          <w:i/>
          <w:iCs/>
        </w:rPr>
      </w:pPr>
    </w:p>
    <w:p w:rsidR="00413E01" w:rsidRPr="000E238C" w:rsidRDefault="00413E01" w:rsidP="00413E01">
      <w:pPr>
        <w:numPr>
          <w:ilvl w:val="0"/>
          <w:numId w:val="4"/>
        </w:numPr>
        <w:spacing w:after="200"/>
        <w:ind w:left="426" w:hanging="66"/>
        <w:jc w:val="both"/>
      </w:pPr>
      <w:r w:rsidRPr="000E238C">
        <w:t xml:space="preserve">Le FAES sollicite des offres fermées de la part de soumissionnaires éligibles et répondant aux qualifications requises pour fournir </w:t>
      </w:r>
      <w:r w:rsidRPr="000E238C">
        <w:rPr>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5507"/>
        <w:gridCol w:w="1343"/>
      </w:tblGrid>
      <w:tr w:rsidR="00413E01" w:rsidRPr="000E238C" w:rsidTr="006A6166">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b/>
                <w:sz w:val="20"/>
              </w:rPr>
            </w:pPr>
            <w:r w:rsidRPr="000E238C">
              <w:rPr>
                <w:b/>
                <w:sz w:val="20"/>
              </w:rPr>
              <w:t>catégories</w:t>
            </w:r>
          </w:p>
        </w:tc>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b/>
                <w:sz w:val="20"/>
              </w:rPr>
            </w:pPr>
            <w:r w:rsidRPr="000E238C">
              <w:rPr>
                <w:b/>
                <w:sz w:val="20"/>
              </w:rPr>
              <w:t>Spécifications techniques requises</w:t>
            </w:r>
          </w:p>
        </w:tc>
        <w:tc>
          <w:tcPr>
            <w:tcW w:w="0" w:type="auto"/>
            <w:shd w:val="clear" w:color="auto" w:fill="FFFFFF" w:themeFill="background1"/>
          </w:tcPr>
          <w:p w:rsidR="00413E01" w:rsidRPr="000E238C" w:rsidRDefault="00413E01" w:rsidP="006A6166">
            <w:pPr>
              <w:shd w:val="clear" w:color="auto" w:fill="FFFFFF" w:themeFill="background1"/>
              <w:spacing w:line="360" w:lineRule="auto"/>
              <w:jc w:val="center"/>
              <w:rPr>
                <w:b/>
                <w:sz w:val="20"/>
              </w:rPr>
            </w:pPr>
            <w:r w:rsidRPr="000E238C">
              <w:rPr>
                <w:b/>
                <w:sz w:val="20"/>
              </w:rPr>
              <w:t>Quantité</w:t>
            </w:r>
          </w:p>
        </w:tc>
      </w:tr>
      <w:tr w:rsidR="00413E01" w:rsidRPr="000E238C" w:rsidTr="006A6166">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b/>
                <w:sz w:val="20"/>
              </w:rPr>
            </w:pPr>
          </w:p>
        </w:tc>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b/>
                <w:sz w:val="20"/>
              </w:rPr>
            </w:pPr>
            <w:r>
              <w:rPr>
                <w:b/>
                <w:sz w:val="20"/>
              </w:rPr>
              <w:t>LOT 1</w:t>
            </w:r>
          </w:p>
        </w:tc>
        <w:tc>
          <w:tcPr>
            <w:tcW w:w="0" w:type="auto"/>
            <w:shd w:val="clear" w:color="auto" w:fill="FFFFFF" w:themeFill="background1"/>
          </w:tcPr>
          <w:p w:rsidR="00413E01" w:rsidRPr="000E238C" w:rsidRDefault="00413E01" w:rsidP="006A6166">
            <w:pPr>
              <w:shd w:val="clear" w:color="auto" w:fill="FFFFFF" w:themeFill="background1"/>
              <w:spacing w:line="360" w:lineRule="auto"/>
              <w:jc w:val="center"/>
              <w:rPr>
                <w:b/>
                <w:sz w:val="20"/>
              </w:rPr>
            </w:pPr>
          </w:p>
        </w:tc>
      </w:tr>
      <w:tr w:rsidR="00413E01" w:rsidRPr="000E238C" w:rsidTr="006A6166">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b/>
                <w:sz w:val="20"/>
              </w:rPr>
            </w:pPr>
            <w:r>
              <w:rPr>
                <w:sz w:val="20"/>
              </w:rPr>
              <w:t>S</w:t>
            </w:r>
            <w:r w:rsidRPr="000E238C">
              <w:rPr>
                <w:sz w:val="20"/>
              </w:rPr>
              <w:t xml:space="preserve">erveurs d'application  de base de données et de relais de base de données  </w:t>
            </w:r>
          </w:p>
        </w:tc>
        <w:tc>
          <w:tcPr>
            <w:tcW w:w="0" w:type="auto"/>
            <w:shd w:val="clear" w:color="auto" w:fill="FFFFFF" w:themeFill="background1"/>
            <w:vAlign w:val="center"/>
          </w:tcPr>
          <w:p w:rsidR="00413E01" w:rsidRPr="000E238C" w:rsidRDefault="00413E01" w:rsidP="00413E01">
            <w:pPr>
              <w:pStyle w:val="ListParagraph"/>
              <w:numPr>
                <w:ilvl w:val="0"/>
                <w:numId w:val="1"/>
              </w:numPr>
              <w:shd w:val="clear" w:color="auto" w:fill="FFFFFF" w:themeFill="background1"/>
              <w:spacing w:after="200" w:line="360" w:lineRule="auto"/>
              <w:contextualSpacing/>
              <w:jc w:val="both"/>
              <w:rPr>
                <w:sz w:val="20"/>
              </w:rPr>
            </w:pPr>
            <w:r w:rsidRPr="000E238C">
              <w:rPr>
                <w:sz w:val="20"/>
              </w:rPr>
              <w:t xml:space="preserve">Nombre de processeurs </w:t>
            </w:r>
            <w:r w:rsidRPr="000E238C">
              <w:rPr>
                <w:sz w:val="20"/>
              </w:rPr>
              <w:tab/>
              <w:t xml:space="preserve">2 à 4,  64 bits, Vitesse interne de l'horloge  </w:t>
            </w:r>
            <w:r w:rsidRPr="000E238C">
              <w:rPr>
                <w:sz w:val="20"/>
              </w:rPr>
              <w:tab/>
              <w:t>3330 MHz</w:t>
            </w:r>
          </w:p>
          <w:p w:rsidR="00413E01" w:rsidRPr="000E238C" w:rsidRDefault="00413E01" w:rsidP="00413E01">
            <w:pPr>
              <w:pStyle w:val="ListParagraph"/>
              <w:numPr>
                <w:ilvl w:val="0"/>
                <w:numId w:val="1"/>
              </w:numPr>
              <w:shd w:val="clear" w:color="auto" w:fill="FFFFFF" w:themeFill="background1"/>
              <w:spacing w:after="200" w:line="360" w:lineRule="auto"/>
              <w:contextualSpacing/>
              <w:jc w:val="both"/>
              <w:rPr>
                <w:sz w:val="20"/>
              </w:rPr>
            </w:pPr>
            <w:r w:rsidRPr="000E238C">
              <w:rPr>
                <w:sz w:val="20"/>
              </w:rPr>
              <w:t>Mémoire interne : 12 Go Extensible à 32 Go</w:t>
            </w:r>
          </w:p>
          <w:p w:rsidR="00413E01" w:rsidRPr="000E238C" w:rsidRDefault="00413E01" w:rsidP="00413E01">
            <w:pPr>
              <w:pStyle w:val="ListParagraph"/>
              <w:numPr>
                <w:ilvl w:val="0"/>
                <w:numId w:val="1"/>
              </w:numPr>
              <w:shd w:val="clear" w:color="auto" w:fill="FFFFFF" w:themeFill="background1"/>
              <w:spacing w:after="200" w:line="360" w:lineRule="auto"/>
              <w:contextualSpacing/>
              <w:jc w:val="both"/>
              <w:rPr>
                <w:sz w:val="20"/>
              </w:rPr>
            </w:pPr>
            <w:r w:rsidRPr="000E238C">
              <w:rPr>
                <w:sz w:val="20"/>
              </w:rPr>
              <w:t>Espace Disques : 2 -3 To repartis sur plusieurs disques, évolutif</w:t>
            </w:r>
          </w:p>
          <w:p w:rsidR="00413E01" w:rsidRPr="000E238C" w:rsidRDefault="00413E01" w:rsidP="00413E01">
            <w:pPr>
              <w:pStyle w:val="ListParagraph"/>
              <w:numPr>
                <w:ilvl w:val="0"/>
                <w:numId w:val="1"/>
              </w:numPr>
              <w:shd w:val="clear" w:color="auto" w:fill="FFFFFF" w:themeFill="background1"/>
              <w:spacing w:after="200" w:line="360" w:lineRule="auto"/>
              <w:contextualSpacing/>
              <w:jc w:val="both"/>
              <w:rPr>
                <w:sz w:val="20"/>
              </w:rPr>
            </w:pPr>
            <w:r w:rsidRPr="000E238C">
              <w:rPr>
                <w:sz w:val="20"/>
              </w:rPr>
              <w:t>Alimentation redondante</w:t>
            </w:r>
          </w:p>
          <w:p w:rsidR="00413E01" w:rsidRPr="000E238C" w:rsidRDefault="00413E01" w:rsidP="00413E01">
            <w:pPr>
              <w:pStyle w:val="ListParagraph"/>
              <w:numPr>
                <w:ilvl w:val="0"/>
                <w:numId w:val="1"/>
              </w:numPr>
              <w:shd w:val="clear" w:color="auto" w:fill="FFFFFF" w:themeFill="background1"/>
              <w:spacing w:after="200" w:line="360" w:lineRule="auto"/>
              <w:contextualSpacing/>
              <w:jc w:val="both"/>
              <w:rPr>
                <w:sz w:val="20"/>
              </w:rPr>
            </w:pPr>
            <w:r w:rsidRPr="000E238C">
              <w:rPr>
                <w:sz w:val="20"/>
              </w:rPr>
              <w:t xml:space="preserve">Ports E/S </w:t>
            </w:r>
            <w:r w:rsidRPr="000E238C">
              <w:rPr>
                <w:sz w:val="20"/>
              </w:rPr>
              <w:tab/>
              <w:t xml:space="preserve">Clavier : 1 ; Souris : 1 ; Série : 1 ; Vidéo : 1 ; Ports USB 2.0 : 3 ; Réseau RJ-45 : 2 ; </w:t>
            </w:r>
          </w:p>
          <w:p w:rsidR="00413E01" w:rsidRPr="000E238C" w:rsidRDefault="00413E01" w:rsidP="00413E01">
            <w:pPr>
              <w:pStyle w:val="ListParagraph"/>
              <w:numPr>
                <w:ilvl w:val="0"/>
                <w:numId w:val="1"/>
              </w:numPr>
              <w:shd w:val="clear" w:color="auto" w:fill="FFFFFF" w:themeFill="background1"/>
              <w:spacing w:after="200" w:line="360" w:lineRule="auto"/>
              <w:contextualSpacing/>
              <w:jc w:val="both"/>
              <w:rPr>
                <w:sz w:val="20"/>
              </w:rPr>
            </w:pPr>
            <w:r w:rsidRPr="000E238C">
              <w:rPr>
                <w:sz w:val="20"/>
              </w:rPr>
              <w:t xml:space="preserve">Type d'unité optique </w:t>
            </w:r>
            <w:r w:rsidRPr="000E238C">
              <w:rPr>
                <w:sz w:val="20"/>
              </w:rPr>
              <w:tab/>
              <w:t xml:space="preserve">DVD+RW ou DVD/CD-RW ou dual slim-line DVD+RW </w:t>
            </w:r>
          </w:p>
          <w:p w:rsidR="00413E01" w:rsidRPr="000E238C" w:rsidRDefault="00413E01" w:rsidP="00413E01">
            <w:pPr>
              <w:pStyle w:val="ListParagraph"/>
              <w:numPr>
                <w:ilvl w:val="0"/>
                <w:numId w:val="1"/>
              </w:numPr>
              <w:shd w:val="clear" w:color="auto" w:fill="FFFFFF" w:themeFill="background1"/>
              <w:spacing w:after="200" w:line="360" w:lineRule="auto"/>
              <w:contextualSpacing/>
              <w:jc w:val="both"/>
              <w:rPr>
                <w:b/>
                <w:sz w:val="20"/>
              </w:rPr>
            </w:pPr>
            <w:r w:rsidRPr="000E238C">
              <w:rPr>
                <w:sz w:val="20"/>
              </w:rPr>
              <w:t>Deux cartes réseau Gigabit multifonctions intégrées avec moteur de déchargement TCP/IP.</w:t>
            </w:r>
          </w:p>
        </w:tc>
        <w:tc>
          <w:tcPr>
            <w:tcW w:w="0" w:type="auto"/>
            <w:shd w:val="clear" w:color="auto" w:fill="FFFFFF" w:themeFill="background1"/>
          </w:tcPr>
          <w:p w:rsidR="00413E01" w:rsidRPr="000E238C" w:rsidRDefault="00413E01" w:rsidP="006A6166">
            <w:pPr>
              <w:shd w:val="clear" w:color="auto" w:fill="FFFFFF" w:themeFill="background1"/>
              <w:spacing w:after="200" w:line="360" w:lineRule="auto"/>
              <w:ind w:left="30"/>
              <w:contextualSpacing/>
              <w:rPr>
                <w:sz w:val="20"/>
              </w:rPr>
            </w:pPr>
            <w:r>
              <w:rPr>
                <w:sz w:val="20"/>
              </w:rPr>
              <w:t>4</w:t>
            </w:r>
          </w:p>
        </w:tc>
      </w:tr>
      <w:tr w:rsidR="00413E01" w:rsidRPr="000E238C" w:rsidTr="006A6166">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sz w:val="20"/>
              </w:rPr>
            </w:pPr>
            <w:r w:rsidRPr="000E238C">
              <w:rPr>
                <w:sz w:val="20"/>
              </w:rPr>
              <w:t>Système d’Exploitation </w:t>
            </w:r>
          </w:p>
        </w:tc>
        <w:tc>
          <w:tcPr>
            <w:tcW w:w="0" w:type="auto"/>
            <w:shd w:val="clear" w:color="auto" w:fill="FFFFFF" w:themeFill="background1"/>
            <w:vAlign w:val="center"/>
          </w:tcPr>
          <w:p w:rsidR="00413E01" w:rsidRDefault="00413E01" w:rsidP="006A6166">
            <w:pPr>
              <w:shd w:val="clear" w:color="auto" w:fill="FFFFFF" w:themeFill="background1"/>
              <w:spacing w:line="360" w:lineRule="auto"/>
              <w:jc w:val="center"/>
              <w:rPr>
                <w:lang w:val="en-US"/>
              </w:rPr>
            </w:pPr>
            <w:r w:rsidRPr="003B534D">
              <w:rPr>
                <w:lang w:val="en-US"/>
              </w:rPr>
              <w:t xml:space="preserve">Microsoft </w:t>
            </w:r>
            <w:hyperlink r:id="rId5" w:history="1">
              <w:r w:rsidRPr="003B534D">
                <w:rPr>
                  <w:lang w:val="en-US"/>
                </w:rPr>
                <w:t xml:space="preserve">Windows Server </w:t>
              </w:r>
              <w:r>
                <w:rPr>
                  <w:lang w:val="en-US"/>
                </w:rPr>
                <w:t>2012/2016</w:t>
              </w:r>
              <w:r w:rsidRPr="003B534D">
                <w:rPr>
                  <w:lang w:val="en-US"/>
                </w:rPr>
                <w:t xml:space="preserve"> </w:t>
              </w:r>
            </w:hyperlink>
            <w:r>
              <w:rPr>
                <w:lang w:val="en-US"/>
              </w:rPr>
              <w:t>Standard</w:t>
            </w:r>
            <w:r w:rsidRPr="003B534D">
              <w:rPr>
                <w:lang w:val="en-US"/>
              </w:rPr>
              <w:t xml:space="preserve"> Edition 64 Bits</w:t>
            </w:r>
          </w:p>
          <w:p w:rsidR="00413E01" w:rsidRPr="000E238C" w:rsidRDefault="00413E01" w:rsidP="006A6166">
            <w:pPr>
              <w:shd w:val="clear" w:color="auto" w:fill="FFFFFF" w:themeFill="background1"/>
              <w:spacing w:line="360" w:lineRule="auto"/>
              <w:jc w:val="center"/>
              <w:rPr>
                <w:b/>
                <w:sz w:val="20"/>
                <w:lang w:val="en-US"/>
              </w:rPr>
            </w:pPr>
            <w:proofErr w:type="spellStart"/>
            <w:r>
              <w:rPr>
                <w:lang w:val="en-US"/>
              </w:rPr>
              <w:t>Intégrant</w:t>
            </w:r>
            <w:proofErr w:type="spellEnd"/>
            <w:r>
              <w:rPr>
                <w:lang w:val="en-US"/>
              </w:rPr>
              <w:t xml:space="preserve"> IIS</w:t>
            </w:r>
          </w:p>
        </w:tc>
        <w:tc>
          <w:tcPr>
            <w:tcW w:w="0" w:type="auto"/>
            <w:shd w:val="clear" w:color="auto" w:fill="FFFFFF" w:themeFill="background1"/>
          </w:tcPr>
          <w:p w:rsidR="00413E01" w:rsidRPr="000E238C" w:rsidRDefault="00413E01" w:rsidP="006A6166">
            <w:pPr>
              <w:shd w:val="clear" w:color="auto" w:fill="FFFFFF" w:themeFill="background1"/>
              <w:spacing w:line="360" w:lineRule="auto"/>
              <w:rPr>
                <w:sz w:val="20"/>
                <w:lang w:val="en-US"/>
              </w:rPr>
            </w:pPr>
            <w:r>
              <w:rPr>
                <w:sz w:val="20"/>
                <w:lang w:val="en-US"/>
              </w:rPr>
              <w:t>4</w:t>
            </w:r>
          </w:p>
        </w:tc>
      </w:tr>
      <w:tr w:rsidR="00413E01" w:rsidRPr="000E238C" w:rsidTr="006A6166">
        <w:tc>
          <w:tcPr>
            <w:tcW w:w="0" w:type="auto"/>
            <w:shd w:val="clear" w:color="auto" w:fill="FFFFFF" w:themeFill="background1"/>
            <w:vAlign w:val="center"/>
          </w:tcPr>
          <w:p w:rsidR="00413E01" w:rsidRPr="00C846CD" w:rsidRDefault="00413E01" w:rsidP="006A6166">
            <w:pPr>
              <w:shd w:val="clear" w:color="auto" w:fill="FFFFFF" w:themeFill="background1"/>
              <w:spacing w:line="360" w:lineRule="auto"/>
              <w:jc w:val="center"/>
              <w:rPr>
                <w:rFonts w:ascii="Segoe UI Symbol" w:hAnsi="Segoe UI Symbol" w:cs="Calibri"/>
                <w:lang w:val="en-US"/>
              </w:rPr>
            </w:pPr>
            <w:r w:rsidRPr="003B534D">
              <w:lastRenderedPageBreak/>
              <w:t xml:space="preserve">Antivirus </w:t>
            </w:r>
            <w:r>
              <w:t>centralisé (end point)</w:t>
            </w:r>
          </w:p>
        </w:tc>
        <w:tc>
          <w:tcPr>
            <w:tcW w:w="0" w:type="auto"/>
            <w:shd w:val="clear" w:color="auto" w:fill="FFFFFF" w:themeFill="background1"/>
            <w:vAlign w:val="center"/>
          </w:tcPr>
          <w:p w:rsidR="00413E01" w:rsidRPr="003B534D" w:rsidRDefault="00413E01" w:rsidP="006A6166">
            <w:pPr>
              <w:shd w:val="clear" w:color="auto" w:fill="FFFFFF" w:themeFill="background1"/>
              <w:spacing w:line="360" w:lineRule="auto"/>
              <w:jc w:val="center"/>
              <w:rPr>
                <w:rFonts w:ascii="Baskerville Old Face" w:hAnsi="Baskerville Old Face" w:cs="Calibri"/>
                <w:lang w:val="en-US"/>
              </w:rPr>
            </w:pPr>
            <w:r>
              <w:rPr>
                <w:rFonts w:ascii="Baskerville Old Face" w:hAnsi="Baskerville Old Face" w:cs="Calibri"/>
              </w:rPr>
              <w:t>Dé</w:t>
            </w:r>
            <w:r w:rsidRPr="00B16192">
              <w:rPr>
                <w:rFonts w:ascii="Baskerville Old Face" w:hAnsi="Baskerville Old Face" w:cs="Calibri"/>
              </w:rPr>
              <w:t>diés</w:t>
            </w:r>
            <w:r w:rsidRPr="003B534D">
              <w:rPr>
                <w:rFonts w:ascii="Baskerville Old Face" w:hAnsi="Baskerville Old Face" w:cs="Calibri"/>
                <w:lang w:val="en-US"/>
              </w:rPr>
              <w:t xml:space="preserve"> aux </w:t>
            </w:r>
            <w:r w:rsidRPr="003B534D">
              <w:t>Serveurs</w:t>
            </w:r>
          </w:p>
        </w:tc>
        <w:tc>
          <w:tcPr>
            <w:tcW w:w="0" w:type="auto"/>
            <w:shd w:val="clear" w:color="auto" w:fill="FFFFFF" w:themeFill="background1"/>
          </w:tcPr>
          <w:p w:rsidR="00413E01" w:rsidRPr="000E238C" w:rsidRDefault="00413E01" w:rsidP="006A6166">
            <w:pPr>
              <w:shd w:val="clear" w:color="auto" w:fill="FFFFFF" w:themeFill="background1"/>
              <w:spacing w:line="360" w:lineRule="auto"/>
              <w:rPr>
                <w:sz w:val="20"/>
              </w:rPr>
            </w:pPr>
            <w:r>
              <w:rPr>
                <w:sz w:val="20"/>
              </w:rPr>
              <w:t>20 Licences</w:t>
            </w:r>
          </w:p>
        </w:tc>
      </w:tr>
      <w:tr w:rsidR="00413E01" w:rsidRPr="000E238C" w:rsidTr="006A6166">
        <w:tc>
          <w:tcPr>
            <w:tcW w:w="0" w:type="auto"/>
            <w:shd w:val="clear" w:color="auto" w:fill="FFFFFF" w:themeFill="background1"/>
            <w:vAlign w:val="center"/>
          </w:tcPr>
          <w:p w:rsidR="00413E01" w:rsidRPr="000E238C" w:rsidRDefault="00413E01" w:rsidP="006A6166">
            <w:pPr>
              <w:pStyle w:val="ListParagraph"/>
              <w:shd w:val="clear" w:color="auto" w:fill="FFFFFF" w:themeFill="background1"/>
              <w:spacing w:after="200" w:line="360" w:lineRule="auto"/>
              <w:ind w:left="851"/>
              <w:contextualSpacing/>
              <w:jc w:val="both"/>
              <w:rPr>
                <w:sz w:val="20"/>
              </w:rPr>
            </w:pPr>
            <w:r w:rsidRPr="000E238C">
              <w:rPr>
                <w:sz w:val="20"/>
              </w:rPr>
              <w:t>Microsoft SQL Server</w:t>
            </w:r>
          </w:p>
          <w:p w:rsidR="00413E01" w:rsidRPr="000E238C" w:rsidRDefault="00413E01" w:rsidP="006A6166">
            <w:pPr>
              <w:shd w:val="clear" w:color="auto" w:fill="FFFFFF" w:themeFill="background1"/>
              <w:spacing w:line="360" w:lineRule="auto"/>
              <w:jc w:val="center"/>
              <w:rPr>
                <w:b/>
                <w:sz w:val="20"/>
              </w:rPr>
            </w:pPr>
          </w:p>
        </w:tc>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b/>
                <w:sz w:val="20"/>
              </w:rPr>
            </w:pPr>
            <w:r w:rsidRPr="00B8033E">
              <w:t>Microsoft SQL Server</w:t>
            </w:r>
            <w:r>
              <w:t xml:space="preserve"> + licence CAL, 2012/2016 ; 64 Bits</w:t>
            </w:r>
            <w:r w:rsidRPr="000E238C">
              <w:rPr>
                <w:b/>
                <w:sz w:val="20"/>
              </w:rPr>
              <w:t xml:space="preserve"> </w:t>
            </w:r>
          </w:p>
        </w:tc>
        <w:tc>
          <w:tcPr>
            <w:tcW w:w="0" w:type="auto"/>
            <w:shd w:val="clear" w:color="auto" w:fill="FFFFFF" w:themeFill="background1"/>
          </w:tcPr>
          <w:p w:rsidR="00413E01" w:rsidRPr="000E238C" w:rsidRDefault="00413E01" w:rsidP="006A6166">
            <w:pPr>
              <w:shd w:val="clear" w:color="auto" w:fill="FFFFFF" w:themeFill="background1"/>
              <w:spacing w:after="200" w:line="360" w:lineRule="auto"/>
              <w:contextualSpacing/>
              <w:rPr>
                <w:sz w:val="20"/>
              </w:rPr>
            </w:pPr>
            <w:r w:rsidRPr="000E238C">
              <w:rPr>
                <w:sz w:val="20"/>
              </w:rPr>
              <w:t>3</w:t>
            </w:r>
          </w:p>
        </w:tc>
      </w:tr>
      <w:tr w:rsidR="00413E01" w:rsidRPr="000E238C" w:rsidTr="006A6166">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b/>
                <w:sz w:val="20"/>
              </w:rPr>
            </w:pPr>
            <w:r w:rsidRPr="000E238C">
              <w:rPr>
                <w:sz w:val="20"/>
              </w:rPr>
              <w:t>Outils de sauvegarde et de restauration des données</w:t>
            </w:r>
          </w:p>
        </w:tc>
        <w:tc>
          <w:tcPr>
            <w:tcW w:w="0" w:type="auto"/>
            <w:shd w:val="clear" w:color="auto" w:fill="FFFFFF" w:themeFill="background1"/>
            <w:vAlign w:val="center"/>
          </w:tcPr>
          <w:p w:rsidR="00413E01" w:rsidRPr="00C846CD" w:rsidRDefault="00413E01" w:rsidP="006A6166">
            <w:pPr>
              <w:shd w:val="clear" w:color="auto" w:fill="FFFFFF" w:themeFill="background1"/>
              <w:spacing w:line="360" w:lineRule="auto"/>
              <w:jc w:val="center"/>
              <w:rPr>
                <w:rFonts w:ascii="Baskerville Old Face" w:hAnsi="Baskerville Old Face" w:cs="Calibri"/>
                <w:lang w:val="en-US"/>
              </w:rPr>
            </w:pPr>
            <w:r w:rsidRPr="00C846CD">
              <w:rPr>
                <w:rFonts w:ascii="Baskerville Old Face" w:hAnsi="Baskerville Old Face" w:cs="Calibri"/>
                <w:lang w:val="en-US"/>
              </w:rPr>
              <w:t>Backup types : full, Incremental, mirror</w:t>
            </w:r>
          </w:p>
          <w:p w:rsidR="00413E01" w:rsidRPr="00C846CD" w:rsidRDefault="00413E01" w:rsidP="006A6166">
            <w:pPr>
              <w:shd w:val="clear" w:color="auto" w:fill="FFFFFF" w:themeFill="background1"/>
              <w:spacing w:line="360" w:lineRule="auto"/>
              <w:jc w:val="center"/>
              <w:rPr>
                <w:rFonts w:ascii="Baskerville Old Face" w:hAnsi="Baskerville Old Face" w:cs="Calibri"/>
                <w:lang w:val="en-US"/>
              </w:rPr>
            </w:pPr>
            <w:r w:rsidRPr="00C846CD">
              <w:rPr>
                <w:rFonts w:ascii="Baskerville Old Face" w:hAnsi="Baskerville Old Face" w:cs="Calibri"/>
                <w:lang w:val="en-US"/>
              </w:rPr>
              <w:t>Backup scheduler</w:t>
            </w:r>
          </w:p>
          <w:p w:rsidR="00413E01" w:rsidRPr="00413F8D" w:rsidRDefault="00413E01" w:rsidP="006A6166">
            <w:pPr>
              <w:shd w:val="clear" w:color="auto" w:fill="FFFFFF" w:themeFill="background1"/>
              <w:spacing w:line="360" w:lineRule="auto"/>
              <w:jc w:val="center"/>
              <w:rPr>
                <w:sz w:val="20"/>
                <w:lang w:val="en-US"/>
              </w:rPr>
            </w:pPr>
            <w:r>
              <w:rPr>
                <w:rFonts w:ascii="Baskerville Old Face" w:hAnsi="Baskerville Old Face" w:cs="Calibri"/>
                <w:lang w:val="en-US"/>
              </w:rPr>
              <w:t>Backup to virtually any media: local, external, FTP/FTPS, Network, CD, DVD</w:t>
            </w:r>
          </w:p>
        </w:tc>
        <w:tc>
          <w:tcPr>
            <w:tcW w:w="0" w:type="auto"/>
            <w:shd w:val="clear" w:color="auto" w:fill="FFFFFF" w:themeFill="background1"/>
          </w:tcPr>
          <w:p w:rsidR="00413E01" w:rsidRPr="000E238C" w:rsidRDefault="00413E01" w:rsidP="006A6166">
            <w:pPr>
              <w:shd w:val="clear" w:color="auto" w:fill="FFFFFF" w:themeFill="background1"/>
              <w:spacing w:line="360" w:lineRule="auto"/>
              <w:rPr>
                <w:sz w:val="20"/>
              </w:rPr>
            </w:pPr>
            <w:r w:rsidRPr="000E238C">
              <w:rPr>
                <w:sz w:val="20"/>
              </w:rPr>
              <w:t>1</w:t>
            </w:r>
          </w:p>
        </w:tc>
      </w:tr>
      <w:tr w:rsidR="00413E01" w:rsidRPr="000E238C" w:rsidTr="006A6166">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sz w:val="20"/>
              </w:rPr>
            </w:pPr>
            <w:r>
              <w:rPr>
                <w:sz w:val="20"/>
              </w:rPr>
              <w:t>NAS Data Storage</w:t>
            </w:r>
            <w:r w:rsidRPr="000E238C">
              <w:rPr>
                <w:sz w:val="20"/>
              </w:rPr>
              <w:t> </w:t>
            </w:r>
          </w:p>
        </w:tc>
        <w:tc>
          <w:tcPr>
            <w:tcW w:w="0" w:type="auto"/>
            <w:shd w:val="clear" w:color="auto" w:fill="FFFFFF" w:themeFill="background1"/>
            <w:vAlign w:val="center"/>
          </w:tcPr>
          <w:p w:rsidR="00413E01" w:rsidRPr="000E238C" w:rsidRDefault="00413E01" w:rsidP="006A6166">
            <w:pPr>
              <w:pStyle w:val="ListParagraph"/>
              <w:shd w:val="clear" w:color="auto" w:fill="FFFFFF" w:themeFill="background1"/>
              <w:ind w:left="360"/>
              <w:jc w:val="both"/>
              <w:rPr>
                <w:color w:val="000000"/>
                <w:sz w:val="20"/>
              </w:rPr>
            </w:pPr>
            <w:r>
              <w:rPr>
                <w:color w:val="000000"/>
              </w:rPr>
              <w:t>Périphérique</w:t>
            </w:r>
            <w:r w:rsidRPr="002C04B7">
              <w:rPr>
                <w:color w:val="000000"/>
              </w:rPr>
              <w:t xml:space="preserve"> </w:t>
            </w:r>
            <w:r>
              <w:rPr>
                <w:color w:val="000000"/>
              </w:rPr>
              <w:t>(2</w:t>
            </w:r>
            <w:r w:rsidRPr="002C04B7">
              <w:rPr>
                <w:color w:val="000000"/>
              </w:rPr>
              <w:t>To)</w:t>
            </w:r>
            <w:r>
              <w:rPr>
                <w:color w:val="000000"/>
              </w:rPr>
              <w:t xml:space="preserve"> configurable </w:t>
            </w:r>
            <w:r w:rsidRPr="002C04B7">
              <w:rPr>
                <w:color w:val="000000"/>
              </w:rPr>
              <w:t xml:space="preserve"> </w:t>
            </w:r>
            <w:r>
              <w:rPr>
                <w:color w:val="000000"/>
              </w:rPr>
              <w:t xml:space="preserve">avec des ports RJ 45 </w:t>
            </w:r>
            <w:r w:rsidRPr="002C04B7">
              <w:rPr>
                <w:color w:val="000000"/>
              </w:rPr>
              <w:t>pouvant évoluer en fonction du développement du RSU.</w:t>
            </w:r>
          </w:p>
          <w:p w:rsidR="00413E01" w:rsidRPr="000E238C" w:rsidRDefault="00413E01" w:rsidP="006A6166">
            <w:pPr>
              <w:shd w:val="clear" w:color="auto" w:fill="FFFFFF" w:themeFill="background1"/>
              <w:spacing w:line="360" w:lineRule="auto"/>
              <w:jc w:val="center"/>
              <w:rPr>
                <w:b/>
                <w:sz w:val="20"/>
              </w:rPr>
            </w:pPr>
          </w:p>
        </w:tc>
        <w:tc>
          <w:tcPr>
            <w:tcW w:w="0" w:type="auto"/>
            <w:shd w:val="clear" w:color="auto" w:fill="FFFFFF" w:themeFill="background1"/>
          </w:tcPr>
          <w:p w:rsidR="00413E01" w:rsidRPr="000E238C" w:rsidRDefault="00413E01" w:rsidP="006A6166">
            <w:pPr>
              <w:shd w:val="clear" w:color="auto" w:fill="FFFFFF" w:themeFill="background1"/>
              <w:rPr>
                <w:color w:val="000000"/>
                <w:sz w:val="20"/>
              </w:rPr>
            </w:pPr>
            <w:r w:rsidRPr="000E238C">
              <w:rPr>
                <w:color w:val="000000"/>
                <w:sz w:val="20"/>
              </w:rPr>
              <w:t>1</w:t>
            </w:r>
          </w:p>
        </w:tc>
      </w:tr>
      <w:tr w:rsidR="00413E01" w:rsidRPr="000E238C" w:rsidTr="006A6166">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sz w:val="20"/>
              </w:rPr>
            </w:pPr>
            <w:r>
              <w:rPr>
                <w:sz w:val="20"/>
              </w:rPr>
              <w:t>R</w:t>
            </w:r>
            <w:r w:rsidRPr="000E238C">
              <w:rPr>
                <w:sz w:val="20"/>
              </w:rPr>
              <w:t>outeur</w:t>
            </w:r>
            <w:r>
              <w:rPr>
                <w:sz w:val="20"/>
              </w:rPr>
              <w:t xml:space="preserve"> avec option Firewall</w:t>
            </w:r>
          </w:p>
        </w:tc>
        <w:tc>
          <w:tcPr>
            <w:tcW w:w="0" w:type="auto"/>
            <w:shd w:val="clear" w:color="auto" w:fill="FFFFFF" w:themeFill="background1"/>
            <w:vAlign w:val="center"/>
          </w:tcPr>
          <w:p w:rsidR="00413E01" w:rsidRPr="004B2DF0" w:rsidRDefault="00413E01" w:rsidP="00413E01">
            <w:pPr>
              <w:pStyle w:val="ListParagraph"/>
              <w:numPr>
                <w:ilvl w:val="0"/>
                <w:numId w:val="1"/>
              </w:numPr>
              <w:shd w:val="clear" w:color="auto" w:fill="FFFFFF" w:themeFill="background1"/>
              <w:spacing w:after="200" w:line="360" w:lineRule="auto"/>
              <w:ind w:left="851" w:hanging="425"/>
              <w:contextualSpacing/>
              <w:jc w:val="both"/>
            </w:pPr>
            <w:r w:rsidRPr="00AB4917">
              <w:t>Firewall intégré pe</w:t>
            </w:r>
            <w:r w:rsidRPr="004B2DF0">
              <w:t>rformant,</w:t>
            </w:r>
          </w:p>
          <w:p w:rsidR="00413E01" w:rsidRPr="0000080B" w:rsidRDefault="00413E01" w:rsidP="00413E01">
            <w:pPr>
              <w:pStyle w:val="ListParagraph"/>
              <w:numPr>
                <w:ilvl w:val="0"/>
                <w:numId w:val="1"/>
              </w:numPr>
              <w:shd w:val="clear" w:color="auto" w:fill="FFFFFF" w:themeFill="background1"/>
              <w:spacing w:after="200" w:line="360" w:lineRule="auto"/>
              <w:ind w:left="851" w:hanging="425"/>
              <w:contextualSpacing/>
              <w:jc w:val="both"/>
            </w:pPr>
            <w:r w:rsidRPr="0000080B">
              <w:t>Protocole de sécurité WAP si non WPA2</w:t>
            </w:r>
          </w:p>
          <w:p w:rsidR="00413E01" w:rsidRPr="00B12FC9" w:rsidRDefault="00413E01" w:rsidP="00413E01">
            <w:pPr>
              <w:pStyle w:val="ListParagraph"/>
              <w:numPr>
                <w:ilvl w:val="0"/>
                <w:numId w:val="1"/>
              </w:numPr>
              <w:shd w:val="clear" w:color="auto" w:fill="FFFFFF" w:themeFill="background1"/>
              <w:spacing w:after="200" w:line="360" w:lineRule="auto"/>
              <w:ind w:left="851" w:hanging="425"/>
              <w:contextualSpacing/>
              <w:jc w:val="both"/>
            </w:pPr>
            <w:r w:rsidRPr="00B12FC9">
              <w:t>accès mobile aux applications de données, voix et vidéo à aux hauts débits</w:t>
            </w:r>
          </w:p>
          <w:p w:rsidR="00413E01" w:rsidRPr="003E1EEC" w:rsidRDefault="00413E01" w:rsidP="00413E01">
            <w:pPr>
              <w:pStyle w:val="ListParagraph"/>
              <w:numPr>
                <w:ilvl w:val="0"/>
                <w:numId w:val="1"/>
              </w:numPr>
              <w:shd w:val="clear" w:color="auto" w:fill="FFFFFF" w:themeFill="background1"/>
              <w:spacing w:after="200" w:line="360" w:lineRule="auto"/>
              <w:ind w:left="851" w:hanging="425"/>
              <w:contextualSpacing/>
              <w:jc w:val="both"/>
            </w:pPr>
            <w:r w:rsidRPr="003E1EEC">
              <w:t>filtrage de contenu</w:t>
            </w:r>
          </w:p>
          <w:p w:rsidR="00413E01" w:rsidRDefault="00413E01" w:rsidP="00413E01">
            <w:pPr>
              <w:pStyle w:val="ListParagraph"/>
              <w:numPr>
                <w:ilvl w:val="0"/>
                <w:numId w:val="1"/>
              </w:numPr>
              <w:shd w:val="clear" w:color="auto" w:fill="FFFFFF" w:themeFill="background1"/>
              <w:spacing w:after="200" w:line="360" w:lineRule="auto"/>
              <w:ind w:left="851" w:hanging="425"/>
              <w:contextualSpacing/>
              <w:jc w:val="both"/>
            </w:pPr>
            <w:r w:rsidRPr="003E1EEC">
              <w:t>Prise en charge VPN</w:t>
            </w:r>
          </w:p>
          <w:p w:rsidR="00413E01" w:rsidRPr="000E238C" w:rsidRDefault="00413E01" w:rsidP="00413E01">
            <w:pPr>
              <w:pStyle w:val="ListParagraph"/>
              <w:numPr>
                <w:ilvl w:val="0"/>
                <w:numId w:val="1"/>
              </w:numPr>
              <w:shd w:val="clear" w:color="auto" w:fill="FFFFFF" w:themeFill="background1"/>
              <w:spacing w:after="200" w:line="360" w:lineRule="auto"/>
              <w:ind w:left="851" w:hanging="425"/>
              <w:contextualSpacing/>
              <w:jc w:val="both"/>
              <w:rPr>
                <w:b/>
                <w:sz w:val="20"/>
              </w:rPr>
            </w:pPr>
            <w:r w:rsidRPr="00477195">
              <w:rPr>
                <w:rFonts w:ascii="Baskerville Old Face" w:hAnsi="Baskerville Old Face" w:cs="Calibri"/>
              </w:rPr>
              <w:t>Contrôle de débit Internet</w:t>
            </w:r>
          </w:p>
        </w:tc>
        <w:tc>
          <w:tcPr>
            <w:tcW w:w="0" w:type="auto"/>
            <w:shd w:val="clear" w:color="auto" w:fill="FFFFFF" w:themeFill="background1"/>
          </w:tcPr>
          <w:p w:rsidR="00413E01" w:rsidRPr="000E238C" w:rsidRDefault="00413E01" w:rsidP="006A6166">
            <w:pPr>
              <w:shd w:val="clear" w:color="auto" w:fill="FFFFFF" w:themeFill="background1"/>
              <w:spacing w:after="200" w:line="360" w:lineRule="auto"/>
              <w:contextualSpacing/>
              <w:rPr>
                <w:sz w:val="20"/>
              </w:rPr>
            </w:pPr>
            <w:r>
              <w:rPr>
                <w:sz w:val="20"/>
              </w:rPr>
              <w:t>2</w:t>
            </w:r>
          </w:p>
        </w:tc>
      </w:tr>
      <w:tr w:rsidR="00413E01" w:rsidRPr="000E238C" w:rsidTr="006A6166">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b/>
                <w:sz w:val="20"/>
              </w:rPr>
            </w:pPr>
            <w:r>
              <w:rPr>
                <w:sz w:val="20"/>
              </w:rPr>
              <w:t>P</w:t>
            </w:r>
            <w:r w:rsidRPr="000E238C">
              <w:rPr>
                <w:sz w:val="20"/>
              </w:rPr>
              <w:t>ostes de travail  fixes</w:t>
            </w:r>
          </w:p>
        </w:tc>
        <w:tc>
          <w:tcPr>
            <w:tcW w:w="0" w:type="auto"/>
            <w:shd w:val="clear" w:color="auto" w:fill="FFFFFF" w:themeFill="background1"/>
            <w:vAlign w:val="center"/>
          </w:tcPr>
          <w:p w:rsidR="00413E01" w:rsidRPr="000E238C" w:rsidRDefault="00413E01" w:rsidP="006A6166">
            <w:pPr>
              <w:shd w:val="clear" w:color="auto" w:fill="FFFFFF" w:themeFill="background1"/>
              <w:spacing w:line="360" w:lineRule="auto"/>
              <w:jc w:val="center"/>
              <w:rPr>
                <w:sz w:val="20"/>
              </w:rPr>
            </w:pPr>
            <w:r>
              <w:rPr>
                <w:rFonts w:ascii="Baskerville Old Face" w:hAnsi="Baskerville Old Face" w:cs="Calibri"/>
              </w:rPr>
              <w:t>Ram 6 go DDR3</w:t>
            </w:r>
            <w:r w:rsidRPr="00B16192">
              <w:rPr>
                <w:rFonts w:ascii="Baskerville Old Face" w:hAnsi="Baskerville Old Face" w:cs="Calibri"/>
              </w:rPr>
              <w:t xml:space="preserve">, processeur cor i7, disque dur 1 to, graveur DVD/ROM, réseau Wifi/Lan, port USB 2.0 et 3.0, écran 19-21 pouces clavier </w:t>
            </w:r>
            <w:r>
              <w:rPr>
                <w:rFonts w:ascii="Baskerville Old Face" w:hAnsi="Baskerville Old Face" w:cs="Calibri"/>
              </w:rPr>
              <w:t>qw</w:t>
            </w:r>
            <w:r w:rsidRPr="00EE5167">
              <w:rPr>
                <w:rFonts w:ascii="Baskerville Old Face" w:hAnsi="Baskerville Old Face" w:cs="Calibri"/>
              </w:rPr>
              <w:t>erty,</w:t>
            </w:r>
            <w:r w:rsidRPr="00B16192">
              <w:rPr>
                <w:rFonts w:ascii="Baskerville Old Face" w:hAnsi="Baskerville Old Face" w:cs="Calibri"/>
              </w:rPr>
              <w:t xml:space="preserve"> système d’exploitation Windows 10</w:t>
            </w:r>
          </w:p>
        </w:tc>
        <w:tc>
          <w:tcPr>
            <w:tcW w:w="0" w:type="auto"/>
            <w:shd w:val="clear" w:color="auto" w:fill="FFFFFF" w:themeFill="background1"/>
          </w:tcPr>
          <w:p w:rsidR="00413E01" w:rsidRPr="000E238C" w:rsidRDefault="00413E01" w:rsidP="006A6166">
            <w:pPr>
              <w:shd w:val="clear" w:color="auto" w:fill="FFFFFF" w:themeFill="background1"/>
              <w:spacing w:line="360" w:lineRule="auto"/>
              <w:rPr>
                <w:sz w:val="20"/>
              </w:rPr>
            </w:pPr>
            <w:r w:rsidRPr="000E238C">
              <w:rPr>
                <w:sz w:val="20"/>
              </w:rPr>
              <w:t>3</w:t>
            </w:r>
          </w:p>
        </w:tc>
      </w:tr>
      <w:tr w:rsidR="00413E01" w:rsidRPr="000E238C" w:rsidTr="006A6166">
        <w:tc>
          <w:tcPr>
            <w:tcW w:w="0" w:type="auto"/>
            <w:tcBorders>
              <w:bottom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rPr>
                <w:sz w:val="20"/>
              </w:rPr>
            </w:pPr>
            <w:r w:rsidRPr="000E238C">
              <w:rPr>
                <w:sz w:val="20"/>
              </w:rPr>
              <w:t xml:space="preserve">Imprimante </w:t>
            </w:r>
            <w:r>
              <w:rPr>
                <w:sz w:val="20"/>
              </w:rPr>
              <w:t>LaserJet</w:t>
            </w:r>
          </w:p>
        </w:tc>
        <w:tc>
          <w:tcPr>
            <w:tcW w:w="0" w:type="auto"/>
            <w:tcBorders>
              <w:bottom w:val="single" w:sz="4" w:space="0" w:color="auto"/>
            </w:tcBorders>
            <w:shd w:val="clear" w:color="auto" w:fill="FFFFFF" w:themeFill="background1"/>
            <w:vAlign w:val="center"/>
          </w:tcPr>
          <w:p w:rsidR="00413E01" w:rsidRPr="002C04B7" w:rsidRDefault="00413E01" w:rsidP="006A6166">
            <w:pPr>
              <w:shd w:val="clear" w:color="auto" w:fill="FFFFFF" w:themeFill="background1"/>
              <w:spacing w:after="200" w:line="360" w:lineRule="auto"/>
              <w:ind w:right="1027"/>
              <w:jc w:val="both"/>
            </w:pPr>
            <w:r w:rsidRPr="002C04B7">
              <w:t>Connexion réseau Ethernet</w:t>
            </w:r>
          </w:p>
          <w:p w:rsidR="00413E01" w:rsidRPr="002C04B7" w:rsidRDefault="00413E01" w:rsidP="006A6166">
            <w:pPr>
              <w:shd w:val="clear" w:color="auto" w:fill="FFFFFF" w:themeFill="background1"/>
              <w:spacing w:after="200" w:line="360" w:lineRule="auto"/>
              <w:jc w:val="both"/>
            </w:pPr>
            <w:r w:rsidRPr="002C04B7">
              <w:t>Connexion USB 2.0</w:t>
            </w:r>
          </w:p>
          <w:p w:rsidR="00413E01" w:rsidRPr="002C04B7" w:rsidRDefault="00413E01" w:rsidP="006A6166">
            <w:pPr>
              <w:shd w:val="clear" w:color="auto" w:fill="FFFFFF" w:themeFill="background1"/>
              <w:spacing w:after="200" w:line="360" w:lineRule="auto"/>
              <w:jc w:val="both"/>
            </w:pPr>
            <w:r w:rsidRPr="002C04B7">
              <w:t>Impression recto verso automatique</w:t>
            </w:r>
          </w:p>
          <w:p w:rsidR="00413E01" w:rsidRPr="002C04B7" w:rsidRDefault="00413E01" w:rsidP="006A6166">
            <w:pPr>
              <w:shd w:val="clear" w:color="auto" w:fill="FFFFFF" w:themeFill="background1"/>
              <w:spacing w:after="200" w:line="360" w:lineRule="auto"/>
              <w:jc w:val="both"/>
            </w:pPr>
            <w:r w:rsidRPr="002C04B7">
              <w:t xml:space="preserve">Un minimum de 20 copies par minute </w:t>
            </w:r>
          </w:p>
          <w:p w:rsidR="00413E01" w:rsidRPr="002C04B7" w:rsidRDefault="00413E01" w:rsidP="006A6166">
            <w:pPr>
              <w:shd w:val="clear" w:color="auto" w:fill="FFFFFF" w:themeFill="background1"/>
              <w:spacing w:after="200" w:line="360" w:lineRule="auto"/>
              <w:jc w:val="both"/>
            </w:pPr>
            <w:r w:rsidRPr="002C04B7">
              <w:t>Capacité papier jusqu'à un millier de feuilles</w:t>
            </w:r>
          </w:p>
          <w:p w:rsidR="00413E01" w:rsidRPr="002C04B7" w:rsidRDefault="00413E01" w:rsidP="006A6166">
            <w:pPr>
              <w:shd w:val="clear" w:color="auto" w:fill="FFFFFF" w:themeFill="background1"/>
              <w:spacing w:after="200" w:line="360" w:lineRule="auto"/>
              <w:jc w:val="both"/>
            </w:pPr>
            <w:r w:rsidRPr="002C04B7">
              <w:lastRenderedPageBreak/>
              <w:t>Temps de sortie de la pre</w:t>
            </w:r>
            <w:r>
              <w:t>mière copie moins de 10 seconde</w:t>
            </w:r>
          </w:p>
          <w:p w:rsidR="00413E01" w:rsidRPr="000E238C" w:rsidRDefault="00413E01" w:rsidP="006A6166">
            <w:pPr>
              <w:shd w:val="clear" w:color="auto" w:fill="FFFFFF" w:themeFill="background1"/>
              <w:spacing w:line="360" w:lineRule="auto"/>
              <w:rPr>
                <w:b/>
                <w:sz w:val="20"/>
              </w:rPr>
            </w:pPr>
            <w:r w:rsidRPr="00232C48">
              <w:rPr>
                <w:rFonts w:ascii="Baskerville Old Face" w:hAnsi="Baskerville Old Face" w:cs="Calibri"/>
              </w:rPr>
              <w:t>Noir &amp; Blanc</w:t>
            </w:r>
          </w:p>
        </w:tc>
        <w:tc>
          <w:tcPr>
            <w:tcW w:w="0" w:type="auto"/>
            <w:tcBorders>
              <w:bottom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ind w:right="1027"/>
              <w:jc w:val="center"/>
              <w:rPr>
                <w:sz w:val="20"/>
              </w:rPr>
            </w:pPr>
            <w:r w:rsidRPr="000E238C">
              <w:rPr>
                <w:sz w:val="20"/>
              </w:rPr>
              <w:lastRenderedPageBreak/>
              <w:t>1</w:t>
            </w:r>
          </w:p>
        </w:tc>
      </w:tr>
      <w:tr w:rsidR="00413E01" w:rsidRPr="000E238C" w:rsidTr="006A616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jc w:val="center"/>
            </w:pPr>
            <w:proofErr w:type="spellStart"/>
            <w:r>
              <w:rPr>
                <w:sz w:val="22"/>
              </w:rPr>
              <w:lastRenderedPageBreak/>
              <w:t>Rackmount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413F8D" w:rsidRDefault="00413E01" w:rsidP="006A6166">
            <w:pPr>
              <w:shd w:val="clear" w:color="auto" w:fill="FFFFFF" w:themeFill="background1"/>
              <w:spacing w:after="200" w:line="360" w:lineRule="auto"/>
              <w:jc w:val="both"/>
              <w:rPr>
                <w:lang w:val="en-US"/>
              </w:rPr>
            </w:pPr>
            <w:r w:rsidRPr="00232C48">
              <w:rPr>
                <w:rFonts w:ascii="Baskerville Old Face" w:hAnsi="Baskerville Old Face" w:cs="Calibri"/>
                <w:lang w:val="en-US"/>
              </w:rPr>
              <w:t>15u server rack data network cabinet 19 inch</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jc w:val="center"/>
            </w:pPr>
            <w:r w:rsidRPr="000E238C">
              <w:rPr>
                <w:sz w:val="22"/>
              </w:rPr>
              <w:t>1</w:t>
            </w:r>
          </w:p>
        </w:tc>
      </w:tr>
      <w:tr w:rsidR="00413E01" w:rsidRPr="000E238C" w:rsidTr="006A616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jc w:val="center"/>
            </w:pPr>
            <w:r>
              <w:rPr>
                <w:sz w:val="22"/>
              </w:rPr>
              <w:t>Logiciel de virtualisation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after="200" w:line="360" w:lineRule="auto"/>
              <w:jc w:val="both"/>
            </w:pPr>
            <w:r>
              <w:t>64 Bits, Compatible avec Windows 2012/2016, Espace de mémoire 8 Go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jc w:val="center"/>
            </w:pPr>
            <w:r>
              <w:rPr>
                <w:sz w:val="22"/>
              </w:rPr>
              <w:t>1</w:t>
            </w:r>
          </w:p>
        </w:tc>
      </w:tr>
      <w:tr w:rsidR="00413E01" w:rsidRPr="000E238C" w:rsidTr="006A616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jc w:val="center"/>
            </w:pPr>
            <w:r>
              <w:rPr>
                <w:sz w:val="22"/>
              </w:rPr>
              <w:t>service de backup en ligne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after="200" w:line="360" w:lineRule="auto"/>
              <w:jc w:val="both"/>
            </w:pPr>
            <w:r>
              <w:t>Capacité à restaurer les données physiques par la poste, pour 3 utilisateurs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jc w:val="center"/>
            </w:pPr>
            <w:r>
              <w:rPr>
                <w:sz w:val="22"/>
              </w:rPr>
              <w:t>1</w:t>
            </w:r>
          </w:p>
        </w:tc>
      </w:tr>
      <w:tr w:rsidR="00413E01" w:rsidRPr="000E238C" w:rsidTr="006A616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after="200" w:line="360" w:lineRule="auto"/>
              <w:jc w:val="both"/>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jc w:val="center"/>
            </w:pPr>
          </w:p>
        </w:tc>
      </w:tr>
      <w:tr w:rsidR="00413E01" w:rsidRPr="000E238C" w:rsidTr="006A616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1D20B7" w:rsidRDefault="00413E01" w:rsidP="006A6166">
            <w:pPr>
              <w:shd w:val="clear" w:color="auto" w:fill="FFFFFF" w:themeFill="background1"/>
              <w:spacing w:after="200" w:line="360" w:lineRule="auto"/>
              <w:jc w:val="center"/>
              <w:rPr>
                <w:b/>
              </w:rPr>
            </w:pPr>
            <w:r w:rsidRPr="001D20B7">
              <w:rPr>
                <w:b/>
                <w:sz w:val="22"/>
              </w:rPr>
              <w:t>LOT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jc w:val="center"/>
            </w:pPr>
          </w:p>
        </w:tc>
      </w:tr>
      <w:tr w:rsidR="00413E01" w:rsidRPr="000E238C" w:rsidTr="006A616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jc w:val="center"/>
            </w:pPr>
            <w:r>
              <w:rPr>
                <w:sz w:val="22"/>
              </w:rPr>
              <w:t>Connexion Internet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after="200" w:line="360" w:lineRule="auto"/>
              <w:jc w:val="both"/>
            </w:pPr>
            <w:r>
              <w:rPr>
                <w:sz w:val="22"/>
              </w:rPr>
              <w:t>Dédié, 1Mb/s, 1 adresse IP public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jc w:val="center"/>
            </w:pPr>
            <w:r>
              <w:rPr>
                <w:sz w:val="22"/>
              </w:rPr>
              <w:t>1</w:t>
            </w:r>
          </w:p>
        </w:tc>
      </w:tr>
      <w:tr w:rsidR="00413E01" w:rsidRPr="000E238C" w:rsidTr="006A616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after="200" w:line="360" w:lineRule="auto"/>
              <w:jc w:val="both"/>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pPr>
          </w:p>
        </w:tc>
      </w:tr>
      <w:tr w:rsidR="00413E01" w:rsidRPr="000E238C" w:rsidTr="006A616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jc w:val="cente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1D20B7" w:rsidRDefault="00413E01" w:rsidP="006A6166">
            <w:pPr>
              <w:shd w:val="clear" w:color="auto" w:fill="FFFFFF" w:themeFill="background1"/>
              <w:spacing w:after="200" w:line="360" w:lineRule="auto"/>
              <w:jc w:val="center"/>
              <w:rPr>
                <w:b/>
              </w:rPr>
            </w:pPr>
            <w:r w:rsidRPr="001D20B7">
              <w:rPr>
                <w:b/>
                <w:sz w:val="22"/>
              </w:rPr>
              <w:t>LOT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pPr>
          </w:p>
        </w:tc>
      </w:tr>
      <w:tr w:rsidR="00413E01" w:rsidRPr="000E238C" w:rsidTr="006A616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jc w:val="center"/>
            </w:pPr>
            <w:r>
              <w:rPr>
                <w:sz w:val="22"/>
              </w:rPr>
              <w:t>Onduleurs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after="200" w:line="360" w:lineRule="auto"/>
              <w:jc w:val="both"/>
            </w:pPr>
            <w:r>
              <w:rPr>
                <w:sz w:val="22"/>
              </w:rPr>
              <w:t xml:space="preserve">5000 W, </w:t>
            </w:r>
            <w:proofErr w:type="spellStart"/>
            <w:r>
              <w:rPr>
                <w:sz w:val="22"/>
              </w:rPr>
              <w:t>Inverter</w:t>
            </w:r>
            <w:proofErr w:type="spellEnd"/>
            <w:r>
              <w:rPr>
                <w:sz w:val="22"/>
              </w:rPr>
              <w:t>/Chargeur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pPr>
            <w:r>
              <w:rPr>
                <w:sz w:val="22"/>
              </w:rPr>
              <w:t>2</w:t>
            </w:r>
          </w:p>
        </w:tc>
      </w:tr>
      <w:tr w:rsidR="00413E01" w:rsidRPr="000E238C" w:rsidTr="006A6166">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line="360" w:lineRule="auto"/>
              <w:jc w:val="center"/>
            </w:pPr>
            <w:r>
              <w:rPr>
                <w:sz w:val="22"/>
              </w:rPr>
              <w:t>Batteries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3E01" w:rsidRPr="000E238C" w:rsidRDefault="00413E01" w:rsidP="006A6166">
            <w:pPr>
              <w:shd w:val="clear" w:color="auto" w:fill="FFFFFF" w:themeFill="background1"/>
              <w:spacing w:after="200" w:line="360" w:lineRule="auto"/>
              <w:jc w:val="both"/>
            </w:pPr>
            <w:r>
              <w:rPr>
                <w:sz w:val="22"/>
              </w:rPr>
              <w:t>6 volts, 200 – 225 Ampères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13E01" w:rsidRPr="000E238C" w:rsidRDefault="00413E01" w:rsidP="006A6166">
            <w:pPr>
              <w:shd w:val="clear" w:color="auto" w:fill="FFFFFF" w:themeFill="background1"/>
              <w:spacing w:after="200" w:line="360" w:lineRule="auto"/>
            </w:pPr>
            <w:r>
              <w:rPr>
                <w:sz w:val="22"/>
              </w:rPr>
              <w:t>16</w:t>
            </w:r>
          </w:p>
        </w:tc>
      </w:tr>
    </w:tbl>
    <w:p w:rsidR="00413E01" w:rsidRPr="000E238C" w:rsidRDefault="00413E01" w:rsidP="00413E01">
      <w:pPr>
        <w:pStyle w:val="ListParagraph"/>
        <w:rPr>
          <w:sz w:val="22"/>
        </w:rPr>
      </w:pPr>
    </w:p>
    <w:p w:rsidR="00413E01" w:rsidRPr="000E238C" w:rsidRDefault="00413E01" w:rsidP="00413E01">
      <w:pPr>
        <w:spacing w:after="200"/>
        <w:ind w:left="426"/>
        <w:jc w:val="both"/>
      </w:pPr>
    </w:p>
    <w:p w:rsidR="00413E01" w:rsidRPr="000E238C" w:rsidRDefault="00413E01" w:rsidP="00413E01">
      <w:pPr>
        <w:numPr>
          <w:ilvl w:val="0"/>
          <w:numId w:val="4"/>
        </w:numPr>
        <w:spacing w:after="200"/>
        <w:jc w:val="both"/>
      </w:pPr>
      <w:r w:rsidRPr="000E238C">
        <w:t>La passation du Marché sera conduite par Appel d’offres National (AON) tel que défini dans les « </w:t>
      </w:r>
      <w:r w:rsidRPr="000E238C">
        <w:rPr>
          <w:iCs/>
        </w:rPr>
        <w:t>Directives : passation des marchés financés par les crédits de l’IDA »</w:t>
      </w:r>
      <w:r w:rsidRPr="000E238C">
        <w:t xml:space="preserve"> et ouvert à tous les soumissionnaires de pays éligibles tels que définis dans les Directives. </w:t>
      </w:r>
    </w:p>
    <w:p w:rsidR="00413E01" w:rsidRPr="000E238C" w:rsidRDefault="00413E01" w:rsidP="00413E01">
      <w:pPr>
        <w:numPr>
          <w:ilvl w:val="0"/>
          <w:numId w:val="4"/>
        </w:numPr>
        <w:ind w:left="709" w:right="-72" w:hanging="349"/>
        <w:jc w:val="both"/>
        <w:rPr>
          <w:szCs w:val="24"/>
        </w:rPr>
      </w:pPr>
      <w:r w:rsidRPr="000E238C">
        <w:rPr>
          <w:szCs w:val="24"/>
        </w:rPr>
        <w:t>Les soumissionnaires éligibles et intéressés peuvent obtenir des informations auprès d</w:t>
      </w:r>
      <w:r>
        <w:rPr>
          <w:szCs w:val="24"/>
        </w:rPr>
        <w:t>e l’Unité de Passation de Marchés du FAES</w:t>
      </w:r>
      <w:r w:rsidRPr="000E238C">
        <w:t xml:space="preserve">  </w:t>
      </w:r>
      <w:r w:rsidRPr="000E238C">
        <w:rPr>
          <w:szCs w:val="24"/>
        </w:rPr>
        <w:t xml:space="preserve">et prendre connaissance des documents d’Appel d’offres à l’adresse suivante ci-dessous : </w:t>
      </w:r>
    </w:p>
    <w:p w:rsidR="00413E01" w:rsidRPr="000E238C" w:rsidRDefault="00413E01" w:rsidP="00413E01">
      <w:pPr>
        <w:pStyle w:val="ListParagraph"/>
        <w:tabs>
          <w:tab w:val="right" w:pos="7254"/>
        </w:tabs>
        <w:spacing w:after="200"/>
        <w:ind w:left="900"/>
        <w:rPr>
          <w:b/>
          <w:szCs w:val="24"/>
        </w:rPr>
      </w:pPr>
      <w:r w:rsidRPr="000E238C">
        <w:rPr>
          <w:b/>
          <w:bCs/>
        </w:rPr>
        <w:t xml:space="preserve">FAES </w:t>
      </w:r>
      <w:r w:rsidRPr="000E238C">
        <w:rPr>
          <w:b/>
          <w:szCs w:val="24"/>
        </w:rPr>
        <w:t xml:space="preserve">  </w:t>
      </w:r>
      <w:r w:rsidRPr="000E238C">
        <w:rPr>
          <w:b/>
          <w:color w:val="0D161C"/>
          <w:sz w:val="20"/>
          <w:shd w:val="clear" w:color="auto" w:fill="FFFFFF"/>
        </w:rPr>
        <w:t>Delmas 75, No. 1, Port-au-Prince, Haïti</w:t>
      </w:r>
    </w:p>
    <w:p w:rsidR="00413E01" w:rsidRPr="000E238C" w:rsidRDefault="00413E01" w:rsidP="00413E01">
      <w:pPr>
        <w:tabs>
          <w:tab w:val="right" w:pos="7254"/>
        </w:tabs>
        <w:spacing w:after="200"/>
        <w:ind w:left="360"/>
        <w:rPr>
          <w:szCs w:val="24"/>
        </w:rPr>
      </w:pPr>
      <w:r w:rsidRPr="000E238C">
        <w:t xml:space="preserve">       T</w:t>
      </w:r>
      <w:r w:rsidRPr="000E238C">
        <w:rPr>
          <w:szCs w:val="24"/>
        </w:rPr>
        <w:t xml:space="preserve">éléphone : </w:t>
      </w:r>
      <w:r w:rsidRPr="000E238C">
        <w:rPr>
          <w:color w:val="0D161C"/>
          <w:sz w:val="20"/>
          <w:shd w:val="clear" w:color="auto" w:fill="FFFFFF"/>
        </w:rPr>
        <w:t>(509) 2813-1268 / 2813-1269 / 2813-1251 / 2813-1270</w:t>
      </w:r>
      <w:r w:rsidRPr="000E238C">
        <w:rPr>
          <w:szCs w:val="24"/>
        </w:rPr>
        <w:t xml:space="preserve">, </w:t>
      </w:r>
    </w:p>
    <w:p w:rsidR="00413E01" w:rsidRPr="000E238C" w:rsidRDefault="00413E01" w:rsidP="00413E01">
      <w:pPr>
        <w:tabs>
          <w:tab w:val="right" w:pos="7254"/>
        </w:tabs>
        <w:spacing w:after="200"/>
        <w:ind w:left="360"/>
      </w:pPr>
      <w:r w:rsidRPr="000E238C">
        <w:rPr>
          <w:szCs w:val="24"/>
        </w:rPr>
        <w:t xml:space="preserve">       E-mail : </w:t>
      </w:r>
      <w:hyperlink r:id="rId6" w:history="1">
        <w:r w:rsidRPr="000E238C">
          <w:rPr>
            <w:rStyle w:val="Hyperlink"/>
            <w:b/>
            <w:bCs/>
            <w:sz w:val="20"/>
            <w:shd w:val="clear" w:color="auto" w:fill="FFFFFF"/>
          </w:rPr>
          <w:t> </w:t>
        </w:r>
        <w:r w:rsidRPr="000E238C">
          <w:rPr>
            <w:rStyle w:val="Hyperlink"/>
            <w:sz w:val="20"/>
            <w:shd w:val="clear" w:color="auto" w:fill="FFFFFF"/>
          </w:rPr>
          <w:t>&lt;marchesfaes@faes.gouv.ht&gt;</w:t>
        </w:r>
      </w:hyperlink>
      <w:r w:rsidRPr="000E238C">
        <w:t xml:space="preserve"> , </w:t>
      </w:r>
    </w:p>
    <w:p w:rsidR="00413E01" w:rsidRPr="000E238C" w:rsidRDefault="00413E01" w:rsidP="00413E01">
      <w:pPr>
        <w:numPr>
          <w:ilvl w:val="0"/>
          <w:numId w:val="4"/>
        </w:numPr>
        <w:spacing w:after="200"/>
        <w:jc w:val="both"/>
      </w:pPr>
      <w:r w:rsidRPr="000E238C">
        <w:t xml:space="preserve">Les exigences en matière de qualifications sont : </w:t>
      </w:r>
    </w:p>
    <w:p w:rsidR="00413E01" w:rsidRPr="000E238C" w:rsidRDefault="00413E01" w:rsidP="00413E01">
      <w:pPr>
        <w:numPr>
          <w:ilvl w:val="0"/>
          <w:numId w:val="2"/>
        </w:numPr>
        <w:spacing w:after="200"/>
        <w:jc w:val="both"/>
        <w:rPr>
          <w:b/>
          <w:szCs w:val="24"/>
        </w:rPr>
      </w:pPr>
      <w:r w:rsidRPr="000E238C">
        <w:rPr>
          <w:b/>
          <w:szCs w:val="24"/>
        </w:rPr>
        <w:lastRenderedPageBreak/>
        <w:t>Capacité financière</w:t>
      </w:r>
    </w:p>
    <w:p w:rsidR="00413E01" w:rsidRPr="000E238C" w:rsidRDefault="00413E01" w:rsidP="00413E01">
      <w:pPr>
        <w:widowControl w:val="0"/>
        <w:autoSpaceDE w:val="0"/>
        <w:autoSpaceDN w:val="0"/>
        <w:adjustRightInd w:val="0"/>
        <w:spacing w:after="200"/>
        <w:ind w:left="1260"/>
        <w:jc w:val="both"/>
        <w:rPr>
          <w:szCs w:val="24"/>
        </w:rPr>
      </w:pPr>
      <w:r w:rsidRPr="000E238C">
        <w:rPr>
          <w:szCs w:val="24"/>
        </w:rPr>
        <w:t xml:space="preserve">Le Soumissionnaire doit fournir la preuve écrite qu’il satisfait aux exigences ci-après : </w:t>
      </w:r>
    </w:p>
    <w:p w:rsidR="00413E01" w:rsidRPr="000E238C" w:rsidRDefault="00413E01" w:rsidP="00413E01">
      <w:pPr>
        <w:pStyle w:val="i"/>
        <w:numPr>
          <w:ilvl w:val="1"/>
          <w:numId w:val="2"/>
        </w:numPr>
        <w:tabs>
          <w:tab w:val="right" w:pos="1276"/>
        </w:tabs>
        <w:suppressAutoHyphens w:val="0"/>
        <w:spacing w:after="200"/>
        <w:jc w:val="left"/>
        <w:rPr>
          <w:rFonts w:ascii="Times New Roman" w:hAnsi="Times New Roman"/>
          <w:szCs w:val="24"/>
          <w:lang w:val="fr-FR"/>
        </w:rPr>
      </w:pPr>
      <w:r w:rsidRPr="000E238C">
        <w:rPr>
          <w:rFonts w:ascii="Times New Roman" w:hAnsi="Times New Roman"/>
          <w:szCs w:val="24"/>
          <w:lang w:val="fr-FR"/>
        </w:rPr>
        <w:t>Un engagement écrit et irrévocable de la Banque du Fournisseur à financer son client jusqu’à concurrence de 50% des coûts d’exécution du marché.</w:t>
      </w:r>
    </w:p>
    <w:p w:rsidR="00413E01" w:rsidRPr="00531A03" w:rsidRDefault="00413E01" w:rsidP="00413E01">
      <w:pPr>
        <w:pStyle w:val="i"/>
        <w:numPr>
          <w:ilvl w:val="1"/>
          <w:numId w:val="2"/>
        </w:numPr>
        <w:tabs>
          <w:tab w:val="right" w:pos="1276"/>
        </w:tabs>
        <w:suppressAutoHyphens w:val="0"/>
        <w:spacing w:after="200"/>
        <w:jc w:val="left"/>
        <w:rPr>
          <w:rFonts w:ascii="Times New Roman" w:hAnsi="Times New Roman"/>
          <w:szCs w:val="24"/>
          <w:lang w:val="fr-FR"/>
        </w:rPr>
      </w:pPr>
      <w:r w:rsidRPr="00531A03">
        <w:rPr>
          <w:rFonts w:ascii="Times New Roman" w:hAnsi="Times New Roman"/>
          <w:szCs w:val="24"/>
          <w:lang w:val="fr-FR"/>
        </w:rPr>
        <w:t xml:space="preserve">Le soumissionnaire doit fournir la preuve écrite qu’il satisfait aux exigences ci-après « avoir un chiffre d’affaires moyen des années 2015 et 2016 au moins égal au montant de son offre, la vérification du chiffre d’affaires annuel moyen sera faite sur la base des états financiers des deux dernières années (2015- 2016) certifiés ou attestés par une firme d’expert-comptable ou de comptable agrée ». </w:t>
      </w:r>
    </w:p>
    <w:p w:rsidR="00413E01" w:rsidRPr="000E238C" w:rsidRDefault="00413E01" w:rsidP="00413E01">
      <w:pPr>
        <w:numPr>
          <w:ilvl w:val="0"/>
          <w:numId w:val="3"/>
        </w:numPr>
        <w:spacing w:after="200"/>
        <w:ind w:left="1260"/>
        <w:rPr>
          <w:b/>
        </w:rPr>
      </w:pPr>
      <w:r w:rsidRPr="000E238C">
        <w:rPr>
          <w:b/>
          <w:u w:val="single"/>
        </w:rPr>
        <w:t>Capacité technique et expérience</w:t>
      </w:r>
    </w:p>
    <w:p w:rsidR="00413E01" w:rsidRPr="000E238C" w:rsidRDefault="00413E01" w:rsidP="00413E01">
      <w:pPr>
        <w:numPr>
          <w:ilvl w:val="0"/>
          <w:numId w:val="5"/>
        </w:numPr>
        <w:spacing w:after="200"/>
        <w:rPr>
          <w:szCs w:val="24"/>
        </w:rPr>
      </w:pPr>
      <w:r w:rsidRPr="000E238C">
        <w:rPr>
          <w:szCs w:val="24"/>
        </w:rPr>
        <w:t xml:space="preserve">Le Soumissionnaire doit prouver, documentation à l’appui qu’il satisfait aux exigences de capacité technique ci-après : </w:t>
      </w:r>
    </w:p>
    <w:p w:rsidR="00413E01" w:rsidRPr="000E238C" w:rsidRDefault="00413E01" w:rsidP="00413E01">
      <w:pPr>
        <w:numPr>
          <w:ilvl w:val="0"/>
          <w:numId w:val="5"/>
        </w:numPr>
        <w:spacing w:after="200"/>
        <w:jc w:val="both"/>
        <w:rPr>
          <w:szCs w:val="24"/>
        </w:rPr>
      </w:pPr>
      <w:r w:rsidRPr="000E238C">
        <w:rPr>
          <w:szCs w:val="24"/>
        </w:rPr>
        <w:t>Etre le fabricant ou le producteur des fournitures, s’il n’est pas le fabricant ou le producteur, il doit fournir une autorisation soit du fabricant lui-même ou d’un concessionnaire agréé ou d’un représentant agréé ou d’un fournisseur agréé par le fabricant, pour attester du fait qu’il a été dûment autorisé par le fabriquant ou le producteur des Fournitures pour fournir ces dernières dans le pays de l’Acheteur en application de la clause 17.2(a) des  IS.</w:t>
      </w:r>
    </w:p>
    <w:p w:rsidR="00413E01" w:rsidRPr="000E238C" w:rsidRDefault="00413E01" w:rsidP="00413E01">
      <w:pPr>
        <w:numPr>
          <w:ilvl w:val="0"/>
          <w:numId w:val="5"/>
        </w:numPr>
        <w:spacing w:after="200"/>
        <w:jc w:val="both"/>
        <w:rPr>
          <w:szCs w:val="24"/>
        </w:rPr>
      </w:pPr>
      <w:r w:rsidRPr="000E238C">
        <w:rPr>
          <w:iCs/>
          <w:szCs w:val="24"/>
        </w:rPr>
        <w:t>Disposer</w:t>
      </w:r>
      <w:r w:rsidRPr="000E238C">
        <w:rPr>
          <w:szCs w:val="24"/>
        </w:rPr>
        <w:t xml:space="preserve"> d’un service après-vente vérifiable équipé, d’un magasin de pièces détachées et d’un atelier capable d’assurer l’entretien et les réparations des matériels offerts conformément à la clause 17.2 (b) des IS. Le soumissionnaire devra démontrer sa capacité à rendre un service après-vente de qualité pendant la période de garantie de 12 mois (disponibilité technique et de personnel qualifié, rapidité d’intervention) et fournira un engagement à ce sujet (une attestation de rendre un service après-vente).</w:t>
      </w:r>
    </w:p>
    <w:p w:rsidR="00413E01" w:rsidRPr="000E238C" w:rsidRDefault="00413E01" w:rsidP="00413E01">
      <w:pPr>
        <w:numPr>
          <w:ilvl w:val="0"/>
          <w:numId w:val="5"/>
        </w:numPr>
        <w:spacing w:after="200"/>
        <w:rPr>
          <w:szCs w:val="24"/>
        </w:rPr>
      </w:pPr>
      <w:r w:rsidRPr="000E238C">
        <w:rPr>
          <w:szCs w:val="24"/>
        </w:rPr>
        <w:t xml:space="preserve">Le Soumissionnaire doit prouver, documentation à l’appui, qu’il satisfait aux exigences d’expérience ci-après : </w:t>
      </w:r>
    </w:p>
    <w:p w:rsidR="00413E01" w:rsidRPr="000E238C" w:rsidRDefault="00413E01" w:rsidP="00413E01">
      <w:pPr>
        <w:numPr>
          <w:ilvl w:val="0"/>
          <w:numId w:val="5"/>
        </w:numPr>
        <w:suppressAutoHyphens/>
        <w:jc w:val="both"/>
        <w:rPr>
          <w:szCs w:val="24"/>
        </w:rPr>
      </w:pPr>
      <w:r w:rsidRPr="000E238C">
        <w:rPr>
          <w:szCs w:val="24"/>
        </w:rPr>
        <w:t>Avoir exécuté au moins deux marchés de fourniture de véhicules au cours des trois dernières années (2016, 2015 et 2014). Pour chaque marché similaire, les pièces justificatives probantes à fournir comprennent les preuves de la réalisation dudit marché (</w:t>
      </w:r>
      <w:r w:rsidRPr="000E238C">
        <w:rPr>
          <w:bCs/>
          <w:szCs w:val="24"/>
        </w:rPr>
        <w:t>PV de réception, attestation de bonne fin ou bordereau de livraison) avec l’adresse exacte de l’Acheteur</w:t>
      </w:r>
      <w:r w:rsidRPr="000E238C">
        <w:rPr>
          <w:szCs w:val="24"/>
        </w:rPr>
        <w:t xml:space="preserve">. </w:t>
      </w:r>
    </w:p>
    <w:p w:rsidR="00413E01" w:rsidRPr="000E238C" w:rsidRDefault="00413E01" w:rsidP="00413E01">
      <w:pPr>
        <w:ind w:left="1260" w:right="-72"/>
        <w:jc w:val="both"/>
        <w:rPr>
          <w:szCs w:val="24"/>
        </w:rPr>
      </w:pPr>
      <w:r w:rsidRPr="000E238C">
        <w:rPr>
          <w:szCs w:val="24"/>
        </w:rPr>
        <w:t xml:space="preserve">Une marge de préférence </w:t>
      </w:r>
      <w:r w:rsidRPr="000E238C">
        <w:t>applicable à certaines fournitures fabriquées localement</w:t>
      </w:r>
      <w:r w:rsidRPr="000E238C">
        <w:rPr>
          <w:i/>
          <w:iCs/>
          <w:szCs w:val="24"/>
        </w:rPr>
        <w:t> </w:t>
      </w:r>
      <w:r w:rsidRPr="000E238C">
        <w:rPr>
          <w:b/>
          <w:iCs/>
          <w:szCs w:val="24"/>
        </w:rPr>
        <w:t>ne sera pas</w:t>
      </w:r>
      <w:r w:rsidRPr="000E238C">
        <w:rPr>
          <w:szCs w:val="24"/>
        </w:rPr>
        <w:t xml:space="preserve"> octroyée aux soumissionnaires éligibles. Voir le document d’Appel d’offres pour les informations détaillées. </w:t>
      </w:r>
    </w:p>
    <w:p w:rsidR="00413E01" w:rsidRPr="000E238C" w:rsidRDefault="00413E01" w:rsidP="00413E01">
      <w:pPr>
        <w:spacing w:after="200"/>
        <w:jc w:val="both"/>
      </w:pPr>
    </w:p>
    <w:p w:rsidR="00413E01" w:rsidRPr="00AC090B" w:rsidRDefault="00413E01" w:rsidP="00413E01">
      <w:pPr>
        <w:pStyle w:val="ListParagraph"/>
        <w:numPr>
          <w:ilvl w:val="0"/>
          <w:numId w:val="4"/>
        </w:numPr>
        <w:tabs>
          <w:tab w:val="right" w:pos="7254"/>
        </w:tabs>
        <w:spacing w:after="200"/>
        <w:rPr>
          <w:b/>
          <w:szCs w:val="24"/>
        </w:rPr>
      </w:pPr>
      <w:r w:rsidRPr="000E238C">
        <w:lastRenderedPageBreak/>
        <w:t>Les soumissionnaires éligibles et intéressés peuvent obtenir</w:t>
      </w:r>
      <w:r>
        <w:t xml:space="preserve"> à compter du </w:t>
      </w:r>
      <w:r w:rsidR="009C5509">
        <w:rPr>
          <w:highlight w:val="yellow"/>
        </w:rPr>
        <w:t>17</w:t>
      </w:r>
      <w:r w:rsidRPr="00284060">
        <w:rPr>
          <w:highlight w:val="yellow"/>
        </w:rPr>
        <w:t xml:space="preserve"> Mai 2017</w:t>
      </w:r>
      <w:r w:rsidRPr="000E238C">
        <w:t xml:space="preserve"> un dossier d’Appel d’offres complet en Français en formulant une demande écrite à l’adresse suivante : </w:t>
      </w:r>
      <w:r w:rsidRPr="00AC090B">
        <w:rPr>
          <w:b/>
          <w:bCs/>
          <w:szCs w:val="24"/>
        </w:rPr>
        <w:t xml:space="preserve">FAES </w:t>
      </w:r>
      <w:r w:rsidRPr="00AC090B">
        <w:rPr>
          <w:b/>
          <w:szCs w:val="24"/>
        </w:rPr>
        <w:t xml:space="preserve">  </w:t>
      </w:r>
      <w:r w:rsidRPr="00AC090B">
        <w:rPr>
          <w:b/>
          <w:color w:val="0D161C"/>
          <w:szCs w:val="24"/>
          <w:shd w:val="clear" w:color="auto" w:fill="FFFFFF"/>
        </w:rPr>
        <w:t>Delmas 75, No. 1, Port-au-Prince, Haïti ;</w:t>
      </w:r>
      <w:r>
        <w:rPr>
          <w:b/>
          <w:color w:val="0D161C"/>
          <w:szCs w:val="24"/>
          <w:shd w:val="clear" w:color="auto" w:fill="FFFFFF"/>
        </w:rPr>
        <w:t xml:space="preserve"> </w:t>
      </w:r>
      <w:r w:rsidRPr="000E238C">
        <w:t>T</w:t>
      </w:r>
      <w:r w:rsidRPr="00AC090B">
        <w:rPr>
          <w:szCs w:val="24"/>
        </w:rPr>
        <w:t xml:space="preserve">éléphone : </w:t>
      </w:r>
      <w:r w:rsidRPr="00AC090B">
        <w:rPr>
          <w:color w:val="0D161C"/>
          <w:szCs w:val="24"/>
          <w:shd w:val="clear" w:color="auto" w:fill="FFFFFF"/>
        </w:rPr>
        <w:t>(509)</w:t>
      </w:r>
      <w:r>
        <w:rPr>
          <w:color w:val="0D161C"/>
          <w:szCs w:val="24"/>
          <w:shd w:val="clear" w:color="auto" w:fill="FFFFFF"/>
        </w:rPr>
        <w:t xml:space="preserve"> 2813-1269 /</w:t>
      </w:r>
      <w:r w:rsidRPr="00AC090B">
        <w:rPr>
          <w:color w:val="0D161C"/>
          <w:szCs w:val="24"/>
          <w:shd w:val="clear" w:color="auto" w:fill="FFFFFF"/>
        </w:rPr>
        <w:t xml:space="preserve"> 2813-1268 / 2813-1251 / 2813-1270</w:t>
      </w:r>
      <w:r w:rsidRPr="00AC090B">
        <w:rPr>
          <w:szCs w:val="24"/>
        </w:rPr>
        <w:t xml:space="preserve">, </w:t>
      </w:r>
      <w:r>
        <w:rPr>
          <w:szCs w:val="24"/>
        </w:rPr>
        <w:t>E</w:t>
      </w:r>
      <w:r w:rsidRPr="00AC090B">
        <w:rPr>
          <w:szCs w:val="24"/>
        </w:rPr>
        <w:t xml:space="preserve">mail : </w:t>
      </w:r>
      <w:hyperlink r:id="rId7" w:history="1">
        <w:r w:rsidRPr="00AC090B">
          <w:rPr>
            <w:rStyle w:val="Hyperlink"/>
            <w:b/>
            <w:bCs/>
            <w:szCs w:val="24"/>
            <w:shd w:val="clear" w:color="auto" w:fill="FFFFFF"/>
          </w:rPr>
          <w:t> </w:t>
        </w:r>
        <w:r w:rsidRPr="00AC090B">
          <w:rPr>
            <w:rStyle w:val="Hyperlink"/>
            <w:szCs w:val="24"/>
            <w:shd w:val="clear" w:color="auto" w:fill="FFFFFF"/>
          </w:rPr>
          <w:t>&lt;marchesfaes@faes.gouv.ht&gt;</w:t>
        </w:r>
      </w:hyperlink>
      <w:r>
        <w:t xml:space="preserve"> t</w:t>
      </w:r>
      <w:r w:rsidRPr="000E238C">
        <w:t xml:space="preserve">ous les jours ouvrables de 8 heures </w:t>
      </w:r>
      <w:proofErr w:type="spellStart"/>
      <w:r w:rsidRPr="000E238C">
        <w:t>am</w:t>
      </w:r>
      <w:proofErr w:type="spellEnd"/>
      <w:r w:rsidRPr="000E238C">
        <w:t xml:space="preserve"> à 4 heures pm (heure locale) contre un paiement non remboursable de Cinq Mille et 00/100 de Gourdes (HTG 5,000.00).</w:t>
      </w:r>
    </w:p>
    <w:p w:rsidR="00413E01" w:rsidRPr="000E238C" w:rsidRDefault="00413E01" w:rsidP="00413E01">
      <w:pPr>
        <w:jc w:val="both"/>
        <w:rPr>
          <w:b/>
          <w:spacing w:val="-2"/>
        </w:rPr>
      </w:pPr>
    </w:p>
    <w:p w:rsidR="00413E01" w:rsidRPr="000E238C" w:rsidRDefault="00413E01" w:rsidP="00413E01">
      <w:pPr>
        <w:ind w:left="360"/>
        <w:jc w:val="both"/>
      </w:pPr>
      <w:r w:rsidRPr="000E238C">
        <w:rPr>
          <w:spacing w:val="-2"/>
        </w:rPr>
        <w:t xml:space="preserve">La méthode de paiement sera par </w:t>
      </w:r>
      <w:r w:rsidRPr="000E238C">
        <w:t xml:space="preserve">chèque bancaire de direction certifié au nom du FAES. </w:t>
      </w:r>
    </w:p>
    <w:p w:rsidR="00413E01" w:rsidRPr="000E238C" w:rsidRDefault="00413E01" w:rsidP="00413E01">
      <w:pPr>
        <w:ind w:left="360"/>
        <w:jc w:val="both"/>
      </w:pPr>
      <w:r w:rsidRPr="000E238C">
        <w:t xml:space="preserve">Le document  d’Appel d’offres sera retiré directement auprès de l’Unité de Passation de Marchés (UPM) du FAES au No. 1 de Delmas 75, Delmas, Haïti. </w:t>
      </w:r>
    </w:p>
    <w:p w:rsidR="00413E01" w:rsidRPr="00AC090B" w:rsidRDefault="00413E01" w:rsidP="00413E01">
      <w:pPr>
        <w:jc w:val="both"/>
        <w:rPr>
          <w:spacing w:val="-2"/>
          <w:szCs w:val="24"/>
        </w:rPr>
      </w:pPr>
    </w:p>
    <w:p w:rsidR="00413E01" w:rsidRPr="00AC090B" w:rsidRDefault="00413E01" w:rsidP="00413E01">
      <w:pPr>
        <w:pStyle w:val="ListParagraph"/>
        <w:numPr>
          <w:ilvl w:val="0"/>
          <w:numId w:val="4"/>
        </w:numPr>
        <w:tabs>
          <w:tab w:val="right" w:pos="7254"/>
        </w:tabs>
        <w:spacing w:after="200"/>
        <w:rPr>
          <w:b/>
          <w:szCs w:val="24"/>
        </w:rPr>
      </w:pPr>
      <w:r w:rsidRPr="00AC090B">
        <w:rPr>
          <w:szCs w:val="24"/>
        </w:rPr>
        <w:t xml:space="preserve">Les offres devront être soumises à l’adresse : </w:t>
      </w:r>
      <w:r w:rsidRPr="00AC090B">
        <w:rPr>
          <w:b/>
          <w:bCs/>
          <w:szCs w:val="24"/>
        </w:rPr>
        <w:t xml:space="preserve">FAES </w:t>
      </w:r>
      <w:r w:rsidRPr="00AC090B">
        <w:rPr>
          <w:b/>
          <w:szCs w:val="24"/>
        </w:rPr>
        <w:t xml:space="preserve">  </w:t>
      </w:r>
      <w:r w:rsidRPr="00AC090B">
        <w:rPr>
          <w:b/>
          <w:color w:val="0D161C"/>
          <w:szCs w:val="24"/>
          <w:shd w:val="clear" w:color="auto" w:fill="FFFFFF"/>
        </w:rPr>
        <w:t>Delmas 75, No. 1, Port-au-Prince, Haïti</w:t>
      </w:r>
    </w:p>
    <w:p w:rsidR="00413E01" w:rsidRPr="00AC090B" w:rsidRDefault="00413E01" w:rsidP="00413E01">
      <w:pPr>
        <w:pStyle w:val="BankNormal"/>
        <w:ind w:firstLine="360"/>
        <w:jc w:val="both"/>
        <w:rPr>
          <w:iCs/>
          <w:szCs w:val="24"/>
          <w:lang w:val="fr-FR"/>
        </w:rPr>
      </w:pPr>
      <w:r w:rsidRPr="00AC090B">
        <w:rPr>
          <w:szCs w:val="24"/>
          <w:lang w:val="fr-FR"/>
        </w:rPr>
        <w:t xml:space="preserve">Au plus tard le </w:t>
      </w:r>
      <w:r w:rsidR="009C5509">
        <w:rPr>
          <w:bCs/>
          <w:szCs w:val="24"/>
          <w:highlight w:val="yellow"/>
          <w:lang w:val="fr-FR"/>
        </w:rPr>
        <w:t>19</w:t>
      </w:r>
      <w:r w:rsidRPr="00284060">
        <w:rPr>
          <w:bCs/>
          <w:szCs w:val="24"/>
          <w:highlight w:val="yellow"/>
          <w:lang w:val="fr-FR"/>
        </w:rPr>
        <w:t xml:space="preserve"> juin 2017 </w:t>
      </w:r>
      <w:r w:rsidR="006B3BE6">
        <w:rPr>
          <w:iCs/>
          <w:szCs w:val="24"/>
          <w:highlight w:val="yellow"/>
          <w:lang w:val="fr-FR"/>
        </w:rPr>
        <w:t xml:space="preserve"> à 11heures AM</w:t>
      </w:r>
      <w:bookmarkStart w:id="1" w:name="_GoBack"/>
      <w:bookmarkEnd w:id="1"/>
      <w:r w:rsidRPr="00AC090B">
        <w:rPr>
          <w:iCs/>
          <w:szCs w:val="24"/>
          <w:lang w:val="fr-FR"/>
        </w:rPr>
        <w:t xml:space="preserve"> (heure locale).</w:t>
      </w:r>
    </w:p>
    <w:p w:rsidR="00413E01" w:rsidRPr="000E238C" w:rsidRDefault="00413E01" w:rsidP="00413E01">
      <w:pPr>
        <w:pStyle w:val="BankNormal"/>
        <w:ind w:left="360"/>
        <w:jc w:val="both"/>
        <w:rPr>
          <w:b/>
          <w:szCs w:val="24"/>
          <w:lang w:val="fr-FR"/>
        </w:rPr>
      </w:pPr>
      <w:r w:rsidRPr="00AC090B">
        <w:rPr>
          <w:iCs/>
          <w:szCs w:val="24"/>
          <w:lang w:val="fr-FR"/>
        </w:rPr>
        <w:t>Un soumissionnaire peut soumissionner pour un ou plusieurs lots. L’attribution du marché se fera par lot.</w:t>
      </w:r>
      <w:r>
        <w:rPr>
          <w:iCs/>
          <w:szCs w:val="24"/>
          <w:lang w:val="fr-FR"/>
        </w:rPr>
        <w:t xml:space="preserve"> </w:t>
      </w:r>
      <w:r w:rsidRPr="000E238C">
        <w:rPr>
          <w:lang w:val="fr-FR"/>
        </w:rPr>
        <w:t xml:space="preserve">La soumission des offres par voie électronique </w:t>
      </w:r>
      <w:r w:rsidRPr="000E238C">
        <w:rPr>
          <w:iCs/>
          <w:lang w:val="fr-FR"/>
        </w:rPr>
        <w:t>ne sera pas</w:t>
      </w:r>
      <w:r w:rsidRPr="000E238C">
        <w:rPr>
          <w:lang w:val="fr-FR"/>
        </w:rPr>
        <w:t xml:space="preserve"> autorisée. Les offres remises en retard ne seront pas acceptées</w:t>
      </w:r>
      <w:r w:rsidRPr="000E238C">
        <w:rPr>
          <w:szCs w:val="24"/>
          <w:lang w:val="fr-FR"/>
        </w:rPr>
        <w:t xml:space="preserve">. Les offres seront ouvertes en présence des représentants des soumissionnaires présents en personne  à l’adresse mentionnée ci-dessous </w:t>
      </w:r>
      <w:r>
        <w:rPr>
          <w:szCs w:val="24"/>
          <w:lang w:val="fr-FR"/>
        </w:rPr>
        <w:t xml:space="preserve">le </w:t>
      </w:r>
      <w:r w:rsidRPr="00284060">
        <w:rPr>
          <w:bCs/>
          <w:szCs w:val="24"/>
          <w:highlight w:val="yellow"/>
          <w:lang w:val="fr-FR"/>
        </w:rPr>
        <w:t>1</w:t>
      </w:r>
      <w:r w:rsidR="009C5509">
        <w:rPr>
          <w:bCs/>
          <w:szCs w:val="24"/>
          <w:highlight w:val="yellow"/>
          <w:lang w:val="fr-FR"/>
        </w:rPr>
        <w:t>9</w:t>
      </w:r>
      <w:r w:rsidRPr="00284060">
        <w:rPr>
          <w:bCs/>
          <w:szCs w:val="24"/>
          <w:highlight w:val="yellow"/>
          <w:lang w:val="fr-FR"/>
        </w:rPr>
        <w:t xml:space="preserve"> Juin 2017 </w:t>
      </w:r>
      <w:r w:rsidRPr="00284060">
        <w:rPr>
          <w:iCs/>
          <w:szCs w:val="24"/>
          <w:highlight w:val="yellow"/>
          <w:lang w:val="fr-FR"/>
        </w:rPr>
        <w:t xml:space="preserve"> à 11 h</w:t>
      </w:r>
      <w:r w:rsidR="006B3BE6">
        <w:rPr>
          <w:iCs/>
          <w:szCs w:val="24"/>
          <w:highlight w:val="yellow"/>
          <w:lang w:val="fr-FR"/>
        </w:rPr>
        <w:t>eures 30 AM</w:t>
      </w:r>
      <w:r w:rsidRPr="000E238C">
        <w:rPr>
          <w:iCs/>
          <w:szCs w:val="24"/>
          <w:lang w:val="fr-FR"/>
        </w:rPr>
        <w:t xml:space="preserve"> (heure locale)</w:t>
      </w:r>
      <w:r w:rsidRPr="000E238C">
        <w:rPr>
          <w:szCs w:val="24"/>
          <w:lang w:val="fr-FR"/>
        </w:rPr>
        <w:t xml:space="preserve"> à l’adresse ci-dessous. </w:t>
      </w:r>
    </w:p>
    <w:p w:rsidR="00413E01" w:rsidRPr="000E238C" w:rsidRDefault="00413E01" w:rsidP="00413E01">
      <w:pPr>
        <w:tabs>
          <w:tab w:val="right" w:pos="7254"/>
        </w:tabs>
        <w:spacing w:after="200"/>
        <w:rPr>
          <w:b/>
          <w:szCs w:val="24"/>
        </w:rPr>
      </w:pPr>
      <w:r w:rsidRPr="000E238C">
        <w:t xml:space="preserve">L’adresse à laquelle il est fait référence ci-dessus est : </w:t>
      </w:r>
      <w:r w:rsidRPr="000E238C">
        <w:rPr>
          <w:b/>
          <w:bCs/>
        </w:rPr>
        <w:t xml:space="preserve">FAES </w:t>
      </w:r>
      <w:r w:rsidRPr="000E238C">
        <w:rPr>
          <w:b/>
          <w:szCs w:val="24"/>
        </w:rPr>
        <w:t xml:space="preserve">  </w:t>
      </w:r>
      <w:r w:rsidRPr="000E238C">
        <w:rPr>
          <w:b/>
          <w:color w:val="0D161C"/>
          <w:sz w:val="20"/>
          <w:shd w:val="clear" w:color="auto" w:fill="FFFFFF"/>
        </w:rPr>
        <w:t>Delmas 75, No. 1, Port-au-Prince, Haïti</w:t>
      </w:r>
    </w:p>
    <w:p w:rsidR="00413E01" w:rsidRPr="000E238C" w:rsidRDefault="00413E01" w:rsidP="00413E01">
      <w:pPr>
        <w:pStyle w:val="i"/>
        <w:suppressAutoHyphens w:val="0"/>
        <w:spacing w:after="200"/>
        <w:ind w:left="426"/>
        <w:rPr>
          <w:rFonts w:ascii="Times New Roman" w:hAnsi="Times New Roman"/>
          <w:b/>
          <w:bCs/>
          <w:i/>
          <w:iCs/>
          <w:lang w:val="fr-FR"/>
        </w:rPr>
      </w:pPr>
    </w:p>
    <w:p w:rsidR="00413E01" w:rsidRPr="000E238C" w:rsidRDefault="00413E01" w:rsidP="00413E01">
      <w:pPr>
        <w:jc w:val="center"/>
        <w:rPr>
          <w:szCs w:val="24"/>
        </w:rPr>
      </w:pPr>
      <w:r w:rsidRPr="000E238C">
        <w:rPr>
          <w:szCs w:val="24"/>
        </w:rPr>
        <w:t>Le Directeur Général</w:t>
      </w:r>
    </w:p>
    <w:p w:rsidR="00413E01" w:rsidRPr="000E238C" w:rsidRDefault="00413E01" w:rsidP="00413E01">
      <w:pPr>
        <w:jc w:val="center"/>
        <w:rPr>
          <w:szCs w:val="24"/>
        </w:rPr>
      </w:pPr>
    </w:p>
    <w:p w:rsidR="0048243C" w:rsidRDefault="0055578D"/>
    <w:sectPr w:rsidR="0048243C" w:rsidSect="001A72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Baskerville Old Face">
    <w:altName w:val="Times New Roman"/>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68C"/>
      </v:shape>
    </w:pict>
  </w:numPicBullet>
  <w:abstractNum w:abstractNumId="0">
    <w:nsid w:val="0C9D0E41"/>
    <w:multiLevelType w:val="hybridMultilevel"/>
    <w:tmpl w:val="6C9AF33E"/>
    <w:lvl w:ilvl="0" w:tplc="040C0007">
      <w:start w:val="1"/>
      <w:numFmt w:val="bullet"/>
      <w:lvlText w:val=""/>
      <w:lvlPicBulletId w:val="0"/>
      <w:lvlJc w:val="left"/>
      <w:pPr>
        <w:ind w:left="1980" w:hanging="360"/>
      </w:pPr>
      <w:rPr>
        <w:rFonts w:ascii="Symbol" w:hAnsi="Symbol"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
    <w:nsid w:val="46877B58"/>
    <w:multiLevelType w:val="hybridMultilevel"/>
    <w:tmpl w:val="3FA28AE0"/>
    <w:lvl w:ilvl="0" w:tplc="0D3024D6">
      <w:numFmt w:val="bullet"/>
      <w:lvlText w:val="-"/>
      <w:lvlJc w:val="left"/>
      <w:pPr>
        <w:ind w:left="39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2B04DF"/>
    <w:multiLevelType w:val="hybridMultilevel"/>
    <w:tmpl w:val="9592973A"/>
    <w:lvl w:ilvl="0" w:tplc="040C0001">
      <w:start w:val="1"/>
      <w:numFmt w:val="bullet"/>
      <w:lvlText w:val=""/>
      <w:lvlJc w:val="left"/>
      <w:pPr>
        <w:ind w:left="1260" w:hanging="360"/>
      </w:pPr>
      <w:rPr>
        <w:rFonts w:ascii="Symbol" w:hAnsi="Symbol" w:hint="default"/>
      </w:rPr>
    </w:lvl>
    <w:lvl w:ilvl="1" w:tplc="040C0007">
      <w:start w:val="1"/>
      <w:numFmt w:val="bullet"/>
      <w:lvlText w:val=""/>
      <w:lvlPicBulletId w:val="0"/>
      <w:lvlJc w:val="left"/>
      <w:pPr>
        <w:ind w:left="1980" w:hanging="360"/>
      </w:pPr>
      <w:rPr>
        <w:rFonts w:ascii="Symbol" w:hAnsi="Symbol"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
    <w:nsid w:val="6DDC4D48"/>
    <w:multiLevelType w:val="hybridMultilevel"/>
    <w:tmpl w:val="9E767B70"/>
    <w:lvl w:ilvl="0" w:tplc="B20C0372">
      <w:start w:val="1"/>
      <w:numFmt w:val="decimal"/>
      <w:lvlText w:val="%1."/>
      <w:lvlJc w:val="left"/>
      <w:pPr>
        <w:ind w:left="900" w:hanging="54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E59727A"/>
    <w:multiLevelType w:val="hybridMultilevel"/>
    <w:tmpl w:val="9ACC103E"/>
    <w:lvl w:ilvl="0" w:tplc="040C0007">
      <w:start w:val="1"/>
      <w:numFmt w:val="bullet"/>
      <w:lvlText w:val=""/>
      <w:lvlPicBulletId w:val="0"/>
      <w:lvlJc w:val="left"/>
      <w:pPr>
        <w:ind w:left="1980" w:hanging="360"/>
      </w:pPr>
      <w:rPr>
        <w:rFonts w:ascii="Symbol" w:hAnsi="Symbol" w:hint="default"/>
      </w:rPr>
    </w:lvl>
    <w:lvl w:ilvl="1" w:tplc="043CEA7E">
      <w:numFmt w:val="bullet"/>
      <w:lvlText w:val="-"/>
      <w:lvlJc w:val="left"/>
      <w:pPr>
        <w:ind w:left="2700" w:hanging="360"/>
      </w:pPr>
      <w:rPr>
        <w:rFonts w:ascii="Calibri" w:eastAsia="Times New Roman" w:hAnsi="Calibri" w:cs="Calibri"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413E01"/>
    <w:rsid w:val="00063DC9"/>
    <w:rsid w:val="00176360"/>
    <w:rsid w:val="001A7213"/>
    <w:rsid w:val="00413E01"/>
    <w:rsid w:val="0055578D"/>
    <w:rsid w:val="006B3BE6"/>
    <w:rsid w:val="00981C96"/>
    <w:rsid w:val="009C5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E01"/>
    <w:pPr>
      <w:spacing w:after="0" w:line="240" w:lineRule="auto"/>
    </w:pPr>
    <w:rPr>
      <w:rFonts w:ascii="Times New Roman" w:eastAsia="Times New Roman" w:hAnsi="Times New Roman" w:cs="Times New Roman"/>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Medium Grid 1 - Accent 21,References"/>
    <w:basedOn w:val="Normal"/>
    <w:link w:val="ListParagraphChar"/>
    <w:uiPriority w:val="34"/>
    <w:qFormat/>
    <w:rsid w:val="00413E01"/>
    <w:pPr>
      <w:ind w:left="708"/>
    </w:pPr>
  </w:style>
  <w:style w:type="character" w:customStyle="1" w:styleId="ListParagraphChar">
    <w:name w:val="List Paragraph Char"/>
    <w:aliases w:val="Bullets Char,Medium Grid 1 - Accent 21 Char,References Char"/>
    <w:link w:val="ListParagraph"/>
    <w:uiPriority w:val="34"/>
    <w:rsid w:val="00413E01"/>
    <w:rPr>
      <w:rFonts w:ascii="Times New Roman" w:eastAsia="Times New Roman" w:hAnsi="Times New Roman" w:cs="Times New Roman"/>
      <w:sz w:val="24"/>
      <w:szCs w:val="20"/>
      <w:lang w:val="fr-FR" w:eastAsia="fr-FR"/>
    </w:rPr>
  </w:style>
  <w:style w:type="paragraph" w:customStyle="1" w:styleId="i">
    <w:name w:val="(i)"/>
    <w:basedOn w:val="Normal"/>
    <w:rsid w:val="00413E01"/>
    <w:pPr>
      <w:suppressAutoHyphens/>
      <w:jc w:val="both"/>
    </w:pPr>
    <w:rPr>
      <w:rFonts w:ascii="Tms Rmn" w:hAnsi="Tms Rmn"/>
      <w:lang w:val="en-US"/>
    </w:rPr>
  </w:style>
  <w:style w:type="character" w:styleId="Hyperlink">
    <w:name w:val="Hyperlink"/>
    <w:uiPriority w:val="99"/>
    <w:rsid w:val="00413E01"/>
    <w:rPr>
      <w:color w:val="0000FF"/>
      <w:u w:val="single"/>
    </w:rPr>
  </w:style>
  <w:style w:type="paragraph" w:customStyle="1" w:styleId="BankNormal">
    <w:name w:val="BankNormal"/>
    <w:basedOn w:val="Normal"/>
    <w:rsid w:val="00413E01"/>
    <w:pPr>
      <w:spacing w:after="240"/>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60;%3cmarchesfaes@faes.gouv.ht%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60;%3cmarchesfaes@faes.gouv.ht%3e" TargetMode="External"/><Relationship Id="rId5" Type="http://schemas.openxmlformats.org/officeDocument/2006/relationships/hyperlink" Target="http://www.microsoft.com/france/serveur/windowsserver/windows-server-2008-R2/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rosemarie.sene</cp:lastModifiedBy>
  <cp:revision>2</cp:revision>
  <dcterms:created xsi:type="dcterms:W3CDTF">2017-05-19T15:29:00Z</dcterms:created>
  <dcterms:modified xsi:type="dcterms:W3CDTF">2017-05-19T15:29:00Z</dcterms:modified>
</cp:coreProperties>
</file>