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Elaboration de One-Pager sur les solutions existantes faisables</w:t>
      </w:r>
    </w:p>
    <w:p w:rsidR="00000000" w:rsidDel="00000000" w:rsidP="00000000" w:rsidRDefault="00000000" w:rsidRPr="00000000" w14:paraId="00000002">
      <w:pPr>
        <w:spacing w:after="40" w:lineRule="auto"/>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Termes de Référence – Recrutement de Lecteurs critiques dans les thématiques</w:t>
      </w:r>
    </w:p>
    <w:p w:rsidR="00000000" w:rsidDel="00000000" w:rsidP="00000000" w:rsidRDefault="00000000" w:rsidRPr="00000000" w14:paraId="00000003">
      <w:pPr>
        <w:spacing w:after="0" w:lineRule="auto"/>
        <w:jc w:val="right"/>
        <w:rPr>
          <w:rFonts w:ascii="Arial" w:cs="Arial" w:eastAsia="Arial" w:hAnsi="Arial"/>
          <w:i w:val="1"/>
          <w:color w:val="222222"/>
        </w:rPr>
      </w:pPr>
      <w:r w:rsidDel="00000000" w:rsidR="00000000" w:rsidRPr="00000000">
        <w:rPr>
          <w:rFonts w:ascii="Arial" w:cs="Arial" w:eastAsia="Arial" w:hAnsi="Arial"/>
          <w:i w:val="1"/>
          <w:color w:val="222222"/>
          <w:sz w:val="20"/>
          <w:szCs w:val="20"/>
          <w:rtl w:val="0"/>
        </w:rPr>
        <w:t xml:space="preserve">Un problème ne se résout jamais tout seul.</w:t>
      </w:r>
      <w:r w:rsidDel="00000000" w:rsidR="00000000" w:rsidRPr="00000000">
        <w:rPr>
          <w:rtl w:val="0"/>
        </w:rPr>
      </w:r>
    </w:p>
    <w:p w:rsidR="00000000" w:rsidDel="00000000" w:rsidP="00000000" w:rsidRDefault="00000000" w:rsidRPr="00000000" w14:paraId="00000004">
      <w:pPr>
        <w:spacing w:after="0" w:lineRule="auto"/>
        <w:jc w:val="right"/>
        <w:rPr>
          <w:rFonts w:ascii="Arial" w:cs="Arial" w:eastAsia="Arial" w:hAnsi="Arial"/>
          <w:i w:val="1"/>
          <w:color w:val="222222"/>
        </w:rPr>
      </w:pPr>
      <w:r w:rsidDel="00000000" w:rsidR="00000000" w:rsidRPr="00000000">
        <w:rPr>
          <w:rFonts w:ascii="Arial" w:cs="Arial" w:eastAsia="Arial" w:hAnsi="Arial"/>
          <w:i w:val="1"/>
          <w:color w:val="222222"/>
          <w:sz w:val="20"/>
          <w:szCs w:val="20"/>
          <w:rtl w:val="0"/>
        </w:rPr>
        <w:t xml:space="preserve">Se plaindre uniquement du problème ne le résoudra jamais.</w:t>
      </w:r>
      <w:r w:rsidDel="00000000" w:rsidR="00000000" w:rsidRPr="00000000">
        <w:rPr>
          <w:rtl w:val="0"/>
        </w:rPr>
      </w:r>
    </w:p>
    <w:p w:rsidR="00000000" w:rsidDel="00000000" w:rsidP="00000000" w:rsidRDefault="00000000" w:rsidRPr="00000000" w14:paraId="00000005">
      <w:pPr>
        <w:spacing w:after="40" w:lineRule="auto"/>
        <w:jc w:val="right"/>
        <w:rPr>
          <w:rFonts w:ascii="Arial" w:cs="Arial" w:eastAsia="Arial" w:hAnsi="Arial"/>
          <w:i w:val="1"/>
          <w:color w:val="222222"/>
        </w:rPr>
      </w:pPr>
      <w:r w:rsidDel="00000000" w:rsidR="00000000" w:rsidRPr="00000000">
        <w:rPr>
          <w:rFonts w:ascii="Arial" w:cs="Arial" w:eastAsia="Arial" w:hAnsi="Arial"/>
          <w:i w:val="1"/>
          <w:color w:val="222222"/>
          <w:sz w:val="20"/>
          <w:szCs w:val="20"/>
          <w:rtl w:val="0"/>
        </w:rPr>
        <w:t xml:space="preserve">Une contribution collective est la meilleure solution à un problème collectif.</w:t>
      </w:r>
      <w:r w:rsidDel="00000000" w:rsidR="00000000" w:rsidRPr="00000000">
        <w:rPr>
          <w:rtl w:val="0"/>
        </w:rPr>
      </w:r>
    </w:p>
    <w:p w:rsidR="00000000" w:rsidDel="00000000" w:rsidP="00000000" w:rsidRDefault="00000000" w:rsidRPr="00000000" w14:paraId="00000006">
      <w:pPr>
        <w:spacing w:after="80" w:lineRule="auto"/>
        <w:jc w:val="right"/>
        <w:rPr>
          <w:rFonts w:ascii="Arial" w:cs="Arial" w:eastAsia="Arial" w:hAnsi="Arial"/>
          <w:color w:val="222222"/>
        </w:rPr>
      </w:pPr>
      <w:r w:rsidDel="00000000" w:rsidR="00000000" w:rsidRPr="00000000">
        <w:rPr>
          <w:rFonts w:ascii="Arial" w:cs="Arial" w:eastAsia="Arial" w:hAnsi="Arial"/>
          <w:color w:val="222222"/>
          <w:sz w:val="20"/>
          <w:szCs w:val="20"/>
          <w:rtl w:val="0"/>
        </w:rPr>
        <w:t xml:space="preserve">Roberts Waddle</w:t>
      </w:r>
      <w:r w:rsidDel="00000000" w:rsidR="00000000" w:rsidRPr="00000000">
        <w:rPr>
          <w:rtl w:val="0"/>
        </w:rPr>
      </w:r>
    </w:p>
    <w:p w:rsidR="00000000" w:rsidDel="00000000" w:rsidP="00000000" w:rsidRDefault="00000000" w:rsidRPr="00000000" w14:paraId="00000007">
      <w:pPr>
        <w:spacing w:after="40" w:lineRule="auto"/>
        <w:jc w:val="both"/>
        <w:rPr>
          <w:rFonts w:ascii="Arial" w:cs="Arial" w:eastAsia="Arial" w:hAnsi="Arial"/>
          <w:color w:val="222222"/>
        </w:rPr>
      </w:pPr>
      <w:r w:rsidDel="00000000" w:rsidR="00000000" w:rsidRPr="00000000">
        <w:rPr>
          <w:rFonts w:ascii="Arial" w:cs="Arial" w:eastAsia="Arial" w:hAnsi="Arial"/>
          <w:b w:val="1"/>
          <w:color w:val="222222"/>
          <w:rtl w:val="0"/>
        </w:rPr>
        <w:t xml:space="preserve">Contexte</w:t>
      </w:r>
      <w:r w:rsidDel="00000000" w:rsidR="00000000" w:rsidRPr="00000000">
        <w:rPr>
          <w:rFonts w:ascii="Arial" w:cs="Arial" w:eastAsia="Arial" w:hAnsi="Arial"/>
          <w:color w:val="222222"/>
          <w:rtl w:val="0"/>
        </w:rPr>
        <w:t xml:space="preserve">. Pour favoriser le développement d'un pays, il est nécessaire de coordonner, appliquer et évaluer les solutions existantes faisables, guidées par des réflexions et des recherches avancées. Les documents One-pager revêtent une importance capitale pour susciter une prise de conscience générale de l’existence de telles solutions dont la mise en œuvre coordonnée, le suivi et l’évaluation donneront des résultats gagnants-gagnants aux effets inclusifs, catalyseurs et multiplicateurs. Ces One-pager, portant chacun sur une thématique et, constitué d'une ou de deux pages, visent à cerner les problèmes cruciaux tout en proposant des solutions existantes faisables adaptées à la réalité locale. Le lancement d'un One-pager marque le premier pas vers la résolution des problèmes des pays en développement, comme Haïti.</w:t>
      </w:r>
    </w:p>
    <w:p w:rsidR="00000000" w:rsidDel="00000000" w:rsidP="00000000" w:rsidRDefault="00000000" w:rsidRPr="00000000" w14:paraId="00000008">
      <w:pPr>
        <w:spacing w:after="40" w:before="8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Avant tout, mettons-nous d’accord sur les considérations clés justifiant la nécessité des One-pager sur Haïti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Les problèmes majeurs d’Haïti ont été vécus, il y a des siècles, par les pays actuellement développés qui les ont déjà résolus. Donc, les solutions aux problèmes actuels d'Haïti existent déjà. Haïti a juste besoin de s'entendre sur ses problèmes pour adapter et appliquer les solutions existantes faisables.</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En Haïti et à l'étranger, il existe une masse critique de professionnels compétents dotés de la formation académique et de l'expérience professionnelle adéquates, capables de faire une synthèse des solutions existantes faisables, à adapter et à mettre en œuvre en Haïti à travers des institutions existantes, en utilisant les entreprises nationales et internationales, l’assistance technique nationale et internationale.</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Nous partons du principe que si nous faisons face à un problème et que nous ayons la possibilité de contribuer à la solution, nous devrions agir et ne jamais laisser la prochaine génération rencontrer le même problème. La réponse rapide au COVID-19 montre que nous pouvons et devons le faire.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color w:val="222222"/>
        </w:rPr>
      </w:pPr>
      <w:r w:rsidDel="00000000" w:rsidR="00000000" w:rsidRPr="00000000">
        <w:rPr>
          <w:rFonts w:ascii="Arial" w:cs="Arial" w:eastAsia="Arial" w:hAnsi="Arial"/>
          <w:color w:val="222222"/>
          <w:rtl w:val="0"/>
        </w:rPr>
        <w:t xml:space="preserve">Fort de cela, la plateforme JobPaw lance deux appels à des consultations dont les objectifs généraux visent à :</w:t>
      </w:r>
    </w:p>
    <w:p w:rsidR="00000000" w:rsidDel="00000000" w:rsidP="00000000" w:rsidRDefault="00000000" w:rsidRPr="00000000" w14:paraId="0000000E">
      <w:pPr>
        <w:numPr>
          <w:ilvl w:val="0"/>
          <w:numId w:val="4"/>
        </w:numPr>
        <w:spacing w:after="40" w:before="80"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Concevoir une méthodologie pour apprendre à identifier et accepter une solution existante faisable et adaptable.</w:t>
      </w:r>
    </w:p>
    <w:p w:rsidR="00000000" w:rsidDel="00000000" w:rsidP="00000000" w:rsidRDefault="00000000" w:rsidRPr="00000000" w14:paraId="0000000F">
      <w:pPr>
        <w:numPr>
          <w:ilvl w:val="0"/>
          <w:numId w:val="4"/>
        </w:numPr>
        <w:spacing w:after="40" w:before="80"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Mobiliser des spécialistes d’une thématique en vue d’arriver à une compréhension commune..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11">
      <w:pPr>
        <w:numPr>
          <w:ilvl w:val="0"/>
          <w:numId w:val="5"/>
        </w:numPr>
        <w:spacing w:after="0" w:before="80" w:lineRule="auto"/>
        <w:ind w:left="720" w:hanging="360"/>
        <w:jc w:val="both"/>
        <w:rPr>
          <w:rFonts w:ascii="Arial" w:cs="Arial" w:eastAsia="Arial" w:hAnsi="Arial"/>
          <w:color w:val="222222"/>
        </w:rPr>
      </w:pPr>
      <w:r w:rsidDel="00000000" w:rsidR="00000000" w:rsidRPr="00000000">
        <w:rPr>
          <w:rFonts w:ascii="Arial" w:cs="Arial" w:eastAsia="Arial" w:hAnsi="Arial"/>
          <w:color w:val="222222"/>
          <w:rtl w:val="0"/>
        </w:rPr>
        <w:t xml:space="preserve">D'abord, la plateforme JobPaw a lancé un appel à tous les professionnels haïtiens, basés en Haïti ou à l'étranger, en vue de contribuer à l’élaboration des One-pager sur les 11 thématiques ci-dessous :</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Sécurité et Justice</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Gouvernance (administration, finances publiques, transparence et reddition de comptes)</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Impunité, Corruption et Citoyenneté.</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222222"/>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Filières (production, transport, transformation et commercialisation) documentées des </w:t>
      </w:r>
      <w:hyperlink r:id="rId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81 produits typiques</w:t>
        </w:r>
      </w:hyperlink>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des 10 départements, avec l’accompagnement technique et le microcrédit solidaire : </w:t>
      </w:r>
    </w:p>
    <w:p w:rsidR="00000000" w:rsidDel="00000000" w:rsidP="00000000" w:rsidRDefault="00000000" w:rsidRPr="00000000" w14:paraId="0000001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Touristiques</w:t>
      </w:r>
    </w:p>
    <w:p w:rsidR="00000000" w:rsidDel="00000000" w:rsidP="00000000" w:rsidRDefault="00000000" w:rsidRPr="00000000" w14:paraId="0000001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Agricoles (fruits et légumes, tubercules, céréales). Voir Etudes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MCI</w:t>
        </w:r>
      </w:hyperlink>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et Groupe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Compétitivité</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Piscicoles</w:t>
      </w:r>
    </w:p>
    <w:p w:rsidR="00000000" w:rsidDel="00000000" w:rsidP="00000000" w:rsidRDefault="00000000" w:rsidRPr="00000000" w14:paraId="0000001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Avicoles (volailles comme poules et pintades)</w:t>
      </w:r>
    </w:p>
    <w:p w:rsidR="00000000" w:rsidDel="00000000" w:rsidP="00000000" w:rsidRDefault="00000000" w:rsidRPr="00000000" w14:paraId="0000001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Animales(bovines, caprines, cunicoles, porcines)</w:t>
      </w:r>
    </w:p>
    <w:p w:rsidR="00000000" w:rsidDel="00000000" w:rsidP="00000000" w:rsidRDefault="00000000" w:rsidRPr="00000000" w14:paraId="0000001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Systèmes d’information agricole</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Formation professionnelle et universitaire orientée vers l’emploi, la production et la technologie</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Assainissement et Gestion de déchets</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Systèmes d’information sanitaire</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Gestion des bassins versants et des canaux d’irrigation</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0" w:before="0" w:line="240" w:lineRule="auto"/>
        <w:ind w:left="1080" w:right="0" w:hanging="36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Culture, Loisirs et Divertissements</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40" w:before="0" w:line="240" w:lineRule="auto"/>
        <w:ind w:left="1080" w:right="0" w:hanging="36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Investissements Directs Etrangers</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1080" w:right="0" w:hanging="36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Commerce International</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0" w:line="259" w:lineRule="auto"/>
        <w:ind w:left="0" w:right="0" w:firstLine="0"/>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40" w:line="259" w:lineRule="auto"/>
        <w:ind w:left="720" w:right="0" w:firstLine="0"/>
        <w:jc w:val="both"/>
        <w:rPr>
          <w:rFonts w:ascii="Arial" w:cs="Arial" w:eastAsia="Arial" w:hAnsi="Arial"/>
          <w:color w:val="222222"/>
        </w:rPr>
      </w:pPr>
      <w:r w:rsidDel="00000000" w:rsidR="00000000" w:rsidRPr="00000000">
        <w:rPr>
          <w:rFonts w:ascii="Arial" w:cs="Arial" w:eastAsia="Arial" w:hAnsi="Arial"/>
          <w:color w:val="222222"/>
          <w:rtl w:val="0"/>
        </w:rPr>
        <w:t xml:space="preserve">B. Ensuite, la plateforme JobPaw lance cet actuel  appel à tous les professionnels haïtiens, basés en Haïti ou à l'étranger, en vue de recruter des lecteurs critiques des One-pager des 11 thématiques  ci-dessus, afin de valider leur contenu final.</w:t>
      </w:r>
    </w:p>
    <w:p w:rsidR="00000000" w:rsidDel="00000000" w:rsidP="00000000" w:rsidRDefault="00000000" w:rsidRPr="00000000" w14:paraId="00000025">
      <w:pPr>
        <w:spacing w:after="40" w:before="40" w:lineRule="auto"/>
        <w:jc w:val="both"/>
        <w:rPr>
          <w:rFonts w:ascii="Arial" w:cs="Arial" w:eastAsia="Arial" w:hAnsi="Arial"/>
          <w:color w:val="222222"/>
        </w:rPr>
      </w:pPr>
      <w:r w:rsidDel="00000000" w:rsidR="00000000" w:rsidRPr="00000000">
        <w:rPr>
          <w:rFonts w:ascii="Arial" w:cs="Arial" w:eastAsia="Arial" w:hAnsi="Arial"/>
          <w:b w:val="1"/>
          <w:color w:val="222222"/>
          <w:rtl w:val="0"/>
        </w:rPr>
        <w:t xml:space="preserve">Mandats de la Consultation</w:t>
      </w:r>
      <w:r w:rsidDel="00000000" w:rsidR="00000000" w:rsidRPr="00000000">
        <w:rPr>
          <w:rFonts w:ascii="Arial" w:cs="Arial" w:eastAsia="Arial" w:hAnsi="Arial"/>
          <w:color w:val="222222"/>
          <w:rtl w:val="0"/>
        </w:rPr>
        <w:t xml:space="preserve">. Le lecteur critique est chargé de :</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80" w:before="0" w:line="259" w:lineRule="auto"/>
        <w:ind w:left="720" w:right="0" w:hanging="360"/>
        <w:jc w:val="both"/>
        <w:rPr>
          <w:b w:val="0"/>
          <w:i w:val="0"/>
          <w:smallCaps w:val="0"/>
          <w:strike w:val="0"/>
          <w:color w:val="222222"/>
          <w:sz w:val="22"/>
          <w:szCs w:val="22"/>
          <w:u w:val="none"/>
          <w:shd w:fill="auto" w:val="clear"/>
          <w:vertAlign w:val="baseline"/>
        </w:rPr>
      </w:pPr>
      <w:r w:rsidDel="00000000" w:rsidR="00000000" w:rsidRPr="00000000">
        <w:rPr>
          <w:rFonts w:ascii="Arial" w:cs="Arial" w:eastAsia="Arial" w:hAnsi="Arial"/>
          <w:color w:val="222222"/>
          <w:rtl w:val="0"/>
        </w:rPr>
        <w:t xml:space="preserve">Lire et commenter, en track changes, le One-pager.</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80" w:before="0" w:line="259" w:lineRule="auto"/>
        <w:ind w:left="720" w:right="0" w:hanging="360"/>
        <w:jc w:val="both"/>
        <w:rPr>
          <w:b w:val="0"/>
          <w:i w:val="0"/>
          <w:smallCaps w:val="0"/>
          <w:strike w:val="0"/>
          <w:color w:val="222222"/>
          <w:sz w:val="22"/>
          <w:szCs w:val="22"/>
          <w:u w:val="none"/>
          <w:shd w:fill="auto" w:val="clear"/>
          <w:vertAlign w:val="baseline"/>
        </w:rPr>
      </w:pPr>
      <w:r w:rsidDel="00000000" w:rsidR="00000000" w:rsidRPr="00000000">
        <w:rPr>
          <w:rFonts w:ascii="Arial" w:cs="Arial" w:eastAsia="Arial" w:hAnsi="Arial"/>
          <w:color w:val="222222"/>
          <w:rtl w:val="0"/>
        </w:rPr>
        <w:t xml:space="preserve">Produire une note d'évaluation du One-pager, indiquant les forces et faiblesses, des suggestions précises sur comment améliorer le One-pager.</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80" w:before="0" w:line="259" w:lineRule="auto"/>
        <w:ind w:left="720" w:right="0" w:hanging="360"/>
        <w:jc w:val="both"/>
        <w:rPr>
          <w:b w:val="0"/>
          <w:i w:val="0"/>
          <w:smallCaps w:val="0"/>
          <w:strike w:val="0"/>
          <w:color w:val="222222"/>
          <w:sz w:val="22"/>
          <w:szCs w:val="22"/>
          <w:u w:val="none"/>
          <w:shd w:fill="auto" w:val="clear"/>
          <w:vertAlign w:val="baseline"/>
        </w:rPr>
      </w:pPr>
      <w:r w:rsidDel="00000000" w:rsidR="00000000" w:rsidRPr="00000000">
        <w:rPr>
          <w:rFonts w:ascii="Arial" w:cs="Arial" w:eastAsia="Arial" w:hAnsi="Arial"/>
          <w:color w:val="222222"/>
          <w:rtl w:val="0"/>
        </w:rPr>
        <w:t xml:space="preserve">Assister à un atelier de présentation du One-pager et clarifier les commentaires, si besoin est.</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80" w:before="0" w:line="259" w:lineRule="auto"/>
        <w:ind w:left="720" w:right="0" w:hanging="360"/>
        <w:jc w:val="both"/>
        <w:rPr>
          <w:b w:val="0"/>
          <w:i w:val="0"/>
          <w:smallCaps w:val="0"/>
          <w:strike w:val="0"/>
          <w:color w:val="222222"/>
          <w:sz w:val="22"/>
          <w:szCs w:val="22"/>
          <w:u w:val="none"/>
          <w:shd w:fill="auto" w:val="clear"/>
          <w:vertAlign w:val="baseline"/>
        </w:rPr>
      </w:pPr>
      <w:r w:rsidDel="00000000" w:rsidR="00000000" w:rsidRPr="00000000">
        <w:rPr>
          <w:rFonts w:ascii="Arial" w:cs="Arial" w:eastAsia="Arial" w:hAnsi="Arial"/>
          <w:color w:val="222222"/>
          <w:rtl w:val="0"/>
        </w:rPr>
        <w:t xml:space="preserve">Valider le contenu final du One-pager révisé.</w:t>
      </w:r>
      <w:r w:rsidDel="00000000" w:rsidR="00000000" w:rsidRPr="00000000">
        <w:rPr>
          <w:rtl w:val="0"/>
        </w:rPr>
      </w:r>
    </w:p>
    <w:p w:rsidR="00000000" w:rsidDel="00000000" w:rsidP="00000000" w:rsidRDefault="00000000" w:rsidRPr="00000000" w14:paraId="0000002A">
      <w:pPr>
        <w:spacing w:after="120" w:before="4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Une note d'évaluation et une ébauche de One-pager seront soumise avec des commentaires en track changes.</w:t>
      </w:r>
    </w:p>
    <w:p w:rsidR="00000000" w:rsidDel="00000000" w:rsidP="00000000" w:rsidRDefault="00000000" w:rsidRPr="00000000" w14:paraId="0000002B">
      <w:pPr>
        <w:spacing w:after="120" w:before="4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Une version révisée du One-pager sera présentée à tous les spécialistes de la thématique, dans le cadre d’un atelier en ligne organisé par le Bureau de Coordination du One-pager.</w:t>
      </w:r>
    </w:p>
    <w:p w:rsidR="00000000" w:rsidDel="00000000" w:rsidP="00000000" w:rsidRDefault="00000000" w:rsidRPr="00000000" w14:paraId="0000002C">
      <w:pPr>
        <w:spacing w:after="120" w:before="4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Une version finale du One-pager, intégrant tous les commentaires reçus lors et hors de l’atelier, sera rédigée et partagée à tous les spécialistes, pour validation finale.</w:t>
      </w:r>
    </w:p>
    <w:p w:rsidR="00000000" w:rsidDel="00000000" w:rsidP="00000000" w:rsidRDefault="00000000" w:rsidRPr="00000000" w14:paraId="0000002D">
      <w:pPr>
        <w:spacing w:after="120" w:before="4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Nous aurons abouti un consensus entre tous les spécialistes d’une thématique sur les solutions existantes faisables applicables en Haïti. Nous serons capables de passer à la phase de mise en œuvre coordonnée des solutions identifiées, de leur suivi et de leur évaluation. </w:t>
      </w:r>
    </w:p>
    <w:p w:rsidR="00000000" w:rsidDel="00000000" w:rsidP="00000000" w:rsidRDefault="00000000" w:rsidRPr="00000000" w14:paraId="0000002E">
      <w:pPr>
        <w:spacing w:after="120" w:before="40" w:lineRule="auto"/>
        <w:jc w:val="both"/>
        <w:rPr>
          <w:rFonts w:ascii="Arial" w:cs="Arial" w:eastAsia="Arial" w:hAnsi="Arial"/>
          <w:color w:val="222222"/>
        </w:rPr>
      </w:pPr>
      <w:bookmarkStart w:colFirst="0" w:colLast="0" w:name="_30j0zll" w:id="1"/>
      <w:bookmarkEnd w:id="1"/>
      <w:r w:rsidDel="00000000" w:rsidR="00000000" w:rsidRPr="00000000">
        <w:rPr>
          <w:rFonts w:ascii="Arial" w:cs="Arial" w:eastAsia="Arial" w:hAnsi="Arial"/>
          <w:color w:val="222222"/>
          <w:rtl w:val="0"/>
        </w:rPr>
        <w:t xml:space="preserve">Avec les entreprises nationales et internationales, l’assistance technique nationale et internationale, tous les Haïtiens, basés en Haïti et à l’étranger, pourront alors jouer un rôle dans la mise en œuvre de telles solutions pouvant créer de la richesse collective. </w:t>
      </w:r>
      <w:r w:rsidDel="00000000" w:rsidR="00000000" w:rsidRPr="00000000">
        <w:rPr>
          <w:rFonts w:ascii="Arial" w:cs="Arial" w:eastAsia="Arial" w:hAnsi="Arial"/>
          <w:i w:val="1"/>
          <w:color w:val="222222"/>
          <w:rtl w:val="0"/>
        </w:rPr>
        <w:t xml:space="preserve">Tout le monde participera et tout le monde en bénéficiera !</w:t>
      </w:r>
      <w:r w:rsidDel="00000000" w:rsidR="00000000" w:rsidRPr="00000000">
        <w:rPr>
          <w:rtl w:val="0"/>
        </w:rPr>
      </w:r>
    </w:p>
    <w:p w:rsidR="00000000" w:rsidDel="00000000" w:rsidP="00000000" w:rsidRDefault="00000000" w:rsidRPr="00000000" w14:paraId="0000002F">
      <w:pPr>
        <w:spacing w:after="40" w:before="40" w:lineRule="auto"/>
        <w:jc w:val="both"/>
        <w:rPr>
          <w:rFonts w:ascii="Arial" w:cs="Arial" w:eastAsia="Arial" w:hAnsi="Arial"/>
          <w:color w:val="222222"/>
        </w:rPr>
      </w:pPr>
      <w:r w:rsidDel="00000000" w:rsidR="00000000" w:rsidRPr="00000000">
        <w:rPr>
          <w:rFonts w:ascii="Arial" w:cs="Arial" w:eastAsia="Arial" w:hAnsi="Arial"/>
          <w:b w:val="1"/>
          <w:color w:val="222222"/>
          <w:rtl w:val="0"/>
        </w:rPr>
        <w:t xml:space="preserve">Modalités et durée de la Consultation</w:t>
      </w:r>
      <w:r w:rsidDel="00000000" w:rsidR="00000000" w:rsidRPr="00000000">
        <w:rPr>
          <w:rFonts w:ascii="Arial" w:cs="Arial" w:eastAsia="Arial" w:hAnsi="Arial"/>
          <w:color w:val="222222"/>
          <w:rtl w:val="0"/>
        </w:rPr>
        <w:t xml:space="preserve">. Le spécialiste travaillera sous la supervision du Coordonnateur du projet One-pager.</w:t>
      </w:r>
    </w:p>
    <w:p w:rsidR="00000000" w:rsidDel="00000000" w:rsidP="00000000" w:rsidRDefault="00000000" w:rsidRPr="00000000" w14:paraId="00000030">
      <w:pPr>
        <w:spacing w:after="120" w:before="40" w:lineRule="auto"/>
        <w:jc w:val="both"/>
        <w:rPr>
          <w:rFonts w:ascii="Arial" w:cs="Arial" w:eastAsia="Arial" w:hAnsi="Arial"/>
          <w:color w:val="222222"/>
        </w:rPr>
      </w:pPr>
      <w:r w:rsidDel="00000000" w:rsidR="00000000" w:rsidRPr="00000000">
        <w:rPr>
          <w:rFonts w:ascii="Arial" w:cs="Arial" w:eastAsia="Arial" w:hAnsi="Arial"/>
          <w:color w:val="222222"/>
          <w:rtl w:val="0"/>
        </w:rPr>
        <w:t xml:space="preserve">Cette consultation se réalise du 20 février au 15 avril 2024.</w:t>
      </w:r>
    </w:p>
    <w:p w:rsidR="00000000" w:rsidDel="00000000" w:rsidP="00000000" w:rsidRDefault="00000000" w:rsidRPr="00000000" w14:paraId="00000031">
      <w:pPr>
        <w:spacing w:after="40" w:before="40" w:lineRule="auto"/>
        <w:jc w:val="both"/>
        <w:rPr>
          <w:rFonts w:ascii="Arial" w:cs="Arial" w:eastAsia="Arial" w:hAnsi="Arial"/>
          <w:color w:val="222222"/>
        </w:rPr>
      </w:pPr>
      <w:r w:rsidDel="00000000" w:rsidR="00000000" w:rsidRPr="00000000">
        <w:rPr>
          <w:rFonts w:ascii="Arial" w:cs="Arial" w:eastAsia="Arial" w:hAnsi="Arial"/>
          <w:b w:val="1"/>
          <w:color w:val="222222"/>
          <w:rtl w:val="0"/>
        </w:rPr>
        <w:t xml:space="preserve">Produits attendus</w:t>
      </w:r>
      <w:r w:rsidDel="00000000" w:rsidR="00000000" w:rsidRPr="00000000">
        <w:rPr>
          <w:rFonts w:ascii="Arial" w:cs="Arial" w:eastAsia="Arial" w:hAnsi="Arial"/>
          <w:color w:val="222222"/>
          <w:rtl w:val="0"/>
        </w:rPr>
        <w:t xml:space="preserve">. Les livrables attendus sont :</w:t>
      </w:r>
    </w:p>
    <w:p w:rsidR="00000000" w:rsidDel="00000000" w:rsidP="00000000" w:rsidRDefault="00000000" w:rsidRPr="00000000" w14:paraId="000000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222222"/>
          <w:sz w:val="22"/>
          <w:szCs w:val="22"/>
          <w:u w:val="none"/>
          <w:shd w:fill="auto" w:val="clear"/>
          <w:vertAlign w:val="baseline"/>
        </w:rPr>
      </w:pPr>
      <w:r w:rsidDel="00000000" w:rsidR="00000000" w:rsidRPr="00000000">
        <w:rPr>
          <w:rFonts w:ascii="Arial" w:cs="Arial" w:eastAsia="Arial" w:hAnsi="Arial"/>
          <w:color w:val="222222"/>
          <w:rtl w:val="0"/>
        </w:rPr>
        <w:t xml:space="preserve">Note d'évaluation</w:t>
      </w:r>
      <w:r w:rsidDel="00000000" w:rsidR="00000000" w:rsidRPr="00000000">
        <w:rPr>
          <w:rFonts w:ascii="Arial" w:cs="Arial" w:eastAsia="Arial" w:hAnsi="Arial"/>
          <w:b w:val="0"/>
          <w:i w:val="1"/>
          <w:smallCaps w:val="0"/>
          <w:strike w:val="0"/>
          <w:color w:val="222222"/>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222222"/>
          <w:sz w:val="22"/>
          <w:szCs w:val="22"/>
          <w:u w:val="none"/>
          <w:shd w:fill="auto" w:val="clear"/>
          <w:vertAlign w:val="baseline"/>
        </w:rPr>
      </w:pPr>
      <w:r w:rsidDel="00000000" w:rsidR="00000000" w:rsidRPr="00000000">
        <w:rPr>
          <w:rFonts w:ascii="Arial" w:cs="Arial" w:eastAsia="Arial" w:hAnsi="Arial"/>
          <w:color w:val="222222"/>
          <w:rtl w:val="0"/>
        </w:rPr>
        <w:t xml:space="preserve">Ebauche de One-pager avec des commentaires en track changes.</w:t>
      </w:r>
      <w:r w:rsidDel="00000000" w:rsidR="00000000" w:rsidRPr="00000000">
        <w:rPr>
          <w:rtl w:val="0"/>
        </w:rPr>
      </w:r>
    </w:p>
    <w:p w:rsidR="00000000" w:rsidDel="00000000" w:rsidP="00000000" w:rsidRDefault="00000000" w:rsidRPr="00000000" w14:paraId="00000034">
      <w:pPr>
        <w:spacing w:after="40" w:before="40" w:lineRule="auto"/>
        <w:jc w:val="both"/>
        <w:rPr>
          <w:rFonts w:ascii="Arial" w:cs="Arial" w:eastAsia="Arial" w:hAnsi="Arial"/>
          <w:color w:val="222222"/>
        </w:rPr>
      </w:pPr>
      <w:r w:rsidDel="00000000" w:rsidR="00000000" w:rsidRPr="00000000">
        <w:rPr>
          <w:rFonts w:ascii="Arial" w:cs="Arial" w:eastAsia="Arial" w:hAnsi="Arial"/>
          <w:b w:val="1"/>
          <w:color w:val="222222"/>
          <w:rtl w:val="0"/>
        </w:rPr>
        <w:t xml:space="preserve">Qualifications requises</w:t>
      </w:r>
      <w:r w:rsidDel="00000000" w:rsidR="00000000" w:rsidRPr="00000000">
        <w:rPr>
          <w:rFonts w:ascii="Arial" w:cs="Arial" w:eastAsia="Arial" w:hAnsi="Arial"/>
          <w:color w:val="222222"/>
          <w:rtl w:val="0"/>
        </w:rPr>
        <w:t xml:space="preserve">. Le consultant aura le profil suivant :</w:t>
      </w:r>
    </w:p>
    <w:p w:rsidR="00000000" w:rsidDel="00000000" w:rsidP="00000000" w:rsidRDefault="00000000" w:rsidRPr="00000000" w14:paraId="0000003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Doctorat ou Maîtrise ou Licence avec une expertise confirmée dans la thématique.</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Solides expériences confirmées dans la réalisation de travaux similaires.</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222222"/>
          <w:sz w:val="22"/>
          <w:szCs w:val="22"/>
          <w:u w:val="none"/>
          <w:shd w:fill="auto" w:val="clear"/>
          <w:vertAlign w:val="baseline"/>
        </w:rPr>
      </w:pPr>
      <w:r w:rsidDel="00000000" w:rsidR="00000000" w:rsidRPr="00000000">
        <w:rPr>
          <w:rFonts w:ascii="Arial" w:cs="Arial" w:eastAsia="Arial" w:hAnsi="Arial"/>
          <w:color w:val="222222"/>
          <w:rtl w:val="0"/>
        </w:rPr>
        <w:t xml:space="preserve">C</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apacité d’analyse</w:t>
      </w:r>
      <w:r w:rsidDel="00000000" w:rsidR="00000000" w:rsidRPr="00000000">
        <w:rPr>
          <w:rFonts w:ascii="Arial" w:cs="Arial" w:eastAsia="Arial" w:hAnsi="Arial"/>
          <w:color w:val="222222"/>
          <w:rtl w:val="0"/>
        </w:rPr>
        <w:t xml:space="preserve">,</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de synthèse</w:t>
      </w:r>
      <w:r w:rsidDel="00000000" w:rsidR="00000000" w:rsidRPr="00000000">
        <w:rPr>
          <w:rFonts w:ascii="Arial" w:cs="Arial" w:eastAsia="Arial" w:hAnsi="Arial"/>
          <w:color w:val="222222"/>
          <w:rtl w:val="0"/>
        </w:rPr>
        <w:t xml:space="preserve">, et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de rédaction en français.</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Disponibilité et dynamisme.</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Capacité à produire sans supervision et sous pression</w:t>
      </w:r>
      <w:r w:rsidDel="00000000" w:rsidR="00000000" w:rsidRPr="00000000">
        <w:rPr>
          <w:rtl w:val="0"/>
        </w:rPr>
      </w:r>
    </w:p>
    <w:p w:rsidR="00000000" w:rsidDel="00000000" w:rsidP="00000000" w:rsidRDefault="00000000" w:rsidRPr="00000000" w14:paraId="0000003A">
      <w:pPr>
        <w:spacing w:after="40" w:before="40" w:lineRule="auto"/>
        <w:jc w:val="both"/>
        <w:rPr>
          <w:rFonts w:ascii="Arial" w:cs="Arial" w:eastAsia="Arial" w:hAnsi="Arial"/>
          <w:color w:val="222222"/>
        </w:rPr>
      </w:pPr>
      <w:r w:rsidDel="00000000" w:rsidR="00000000" w:rsidRPr="00000000">
        <w:rPr>
          <w:rFonts w:ascii="Arial" w:cs="Arial" w:eastAsia="Arial" w:hAnsi="Arial"/>
          <w:b w:val="1"/>
          <w:color w:val="222222"/>
          <w:rtl w:val="0"/>
        </w:rPr>
        <w:t xml:space="preserve">Rémunération de la consultation</w:t>
      </w:r>
      <w:r w:rsidDel="00000000" w:rsidR="00000000" w:rsidRPr="00000000">
        <w:rPr>
          <w:rFonts w:ascii="Arial" w:cs="Arial" w:eastAsia="Arial" w:hAnsi="Arial"/>
          <w:color w:val="222222"/>
          <w:rtl w:val="0"/>
        </w:rPr>
        <w:t xml:space="preserve">. Le versement de la rémunération s’effectue en deux parties :</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59" w:lineRule="auto"/>
        <w:ind w:left="720" w:right="0" w:hanging="360"/>
        <w:jc w:val="both"/>
        <w:rPr>
          <w:b w:val="0"/>
          <w:i w:val="0"/>
          <w:smallCaps w:val="0"/>
          <w:strike w:val="0"/>
          <w:color w:val="222222"/>
          <w:sz w:val="22"/>
          <w:szCs w:val="22"/>
          <w:u w:val="none"/>
          <w:shd w:fill="auto" w:val="clear"/>
          <w:vertAlign w:val="baseline"/>
        </w:rPr>
      </w:pPr>
      <w:r w:rsidDel="00000000" w:rsidR="00000000" w:rsidRPr="00000000">
        <w:rPr>
          <w:rFonts w:ascii="Arial" w:cs="Arial" w:eastAsia="Arial" w:hAnsi="Arial"/>
          <w:color w:val="222222"/>
          <w:rtl w:val="0"/>
        </w:rPr>
        <w:t xml:space="preserve">5</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0% </w:t>
      </w:r>
      <w:r w:rsidDel="00000000" w:rsidR="00000000" w:rsidRPr="00000000">
        <w:rPr>
          <w:rFonts w:ascii="Arial" w:cs="Arial" w:eastAsia="Arial" w:hAnsi="Arial"/>
          <w:color w:val="222222"/>
          <w:rtl w:val="0"/>
        </w:rPr>
        <w:t xml:space="preserve">à la soumission de la note d'évaluation, de l'ébauche de One-pager avec des commentaires en track changes et, après la participation à l'atelier de présentation du One-pager.</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720" w:right="0" w:hanging="360"/>
        <w:jc w:val="both"/>
        <w:rPr>
          <w:b w:val="0"/>
          <w:i w:val="0"/>
          <w:smallCaps w:val="0"/>
          <w:strike w:val="0"/>
          <w:color w:val="222222"/>
          <w:sz w:val="22"/>
          <w:szCs w:val="22"/>
          <w:u w:val="none"/>
          <w:shd w:fill="auto" w:val="clear"/>
          <w:vertAlign w:val="baseline"/>
        </w:rPr>
      </w:pPr>
      <w:r w:rsidDel="00000000" w:rsidR="00000000" w:rsidRPr="00000000">
        <w:rPr>
          <w:rFonts w:ascii="Arial" w:cs="Arial" w:eastAsia="Arial" w:hAnsi="Arial"/>
          <w:color w:val="222222"/>
          <w:rtl w:val="0"/>
        </w:rPr>
        <w:t xml:space="preserve">5</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0% </w:t>
      </w:r>
      <w:r w:rsidDel="00000000" w:rsidR="00000000" w:rsidRPr="00000000">
        <w:rPr>
          <w:rFonts w:ascii="Arial" w:cs="Arial" w:eastAsia="Arial" w:hAnsi="Arial"/>
          <w:color w:val="222222"/>
          <w:rtl w:val="0"/>
        </w:rPr>
        <w:t xml:space="preserve">après validation du contenu final du One-pager intégrant tous les commentaires des spécialistes.</w:t>
      </w:r>
      <w:r w:rsidDel="00000000" w:rsidR="00000000" w:rsidRPr="00000000">
        <w:rPr>
          <w:rtl w:val="0"/>
        </w:rPr>
      </w:r>
    </w:p>
    <w:p w:rsidR="00000000" w:rsidDel="00000000" w:rsidP="00000000" w:rsidRDefault="00000000" w:rsidRPr="00000000" w14:paraId="0000003D">
      <w:pPr>
        <w:spacing w:after="40" w:before="40" w:lineRule="auto"/>
        <w:jc w:val="both"/>
        <w:rPr>
          <w:rFonts w:ascii="Arial" w:cs="Arial" w:eastAsia="Arial" w:hAnsi="Arial"/>
          <w:color w:val="222222"/>
        </w:rPr>
      </w:pPr>
      <w:r w:rsidDel="00000000" w:rsidR="00000000" w:rsidRPr="00000000">
        <w:rPr>
          <w:rFonts w:ascii="Arial" w:cs="Arial" w:eastAsia="Arial" w:hAnsi="Arial"/>
          <w:b w:val="1"/>
          <w:color w:val="222222"/>
          <w:rtl w:val="0"/>
        </w:rPr>
        <w:t xml:space="preserve">Manifestation d’intérêt</w:t>
      </w:r>
      <w:r w:rsidDel="00000000" w:rsidR="00000000" w:rsidRPr="00000000">
        <w:rPr>
          <w:rFonts w:ascii="Arial" w:cs="Arial" w:eastAsia="Arial" w:hAnsi="Arial"/>
          <w:color w:val="222222"/>
          <w:rtl w:val="0"/>
        </w:rPr>
        <w:t xml:space="preserve">. Tous les professionnels basés en Haïti et à l'étranger, intéressés par l’initiative One-pager, peuvent se connecter avec nous sur LinkedIn (</w:t>
      </w:r>
      <w:hyperlink r:id="rId9">
        <w:r w:rsidDel="00000000" w:rsidR="00000000" w:rsidRPr="00000000">
          <w:rPr>
            <w:rFonts w:ascii="Arial" w:cs="Arial" w:eastAsia="Arial" w:hAnsi="Arial"/>
            <w:color w:val="0000ff"/>
            <w:u w:val="single"/>
            <w:rtl w:val="0"/>
          </w:rPr>
          <w:t xml:space="preserve">https://www.linkedin.com/in/jobpaw/</w:t>
        </w:r>
      </w:hyperlink>
      <w:r w:rsidDel="00000000" w:rsidR="00000000" w:rsidRPr="00000000">
        <w:rPr>
          <w:rFonts w:ascii="Arial" w:cs="Arial" w:eastAsia="Arial" w:hAnsi="Arial"/>
          <w:color w:val="222222"/>
          <w:rtl w:val="0"/>
        </w:rPr>
        <w:t xml:space="preserve">) et nous écrire par e-mail à </w:t>
      </w:r>
      <w:hyperlink r:id="rId10">
        <w:r w:rsidDel="00000000" w:rsidR="00000000" w:rsidRPr="00000000">
          <w:rPr>
            <w:rFonts w:ascii="Arial" w:cs="Arial" w:eastAsia="Arial" w:hAnsi="Arial"/>
            <w:color w:val="0000ff"/>
            <w:u w:val="single"/>
            <w:rtl w:val="0"/>
          </w:rPr>
          <w:t xml:space="preserve">rwaddle@forumopportunite.com</w:t>
        </w:r>
      </w:hyperlink>
      <w:r w:rsidDel="00000000" w:rsidR="00000000" w:rsidRPr="00000000">
        <w:rPr>
          <w:rFonts w:ascii="Arial" w:cs="Arial" w:eastAsia="Arial" w:hAnsi="Arial"/>
          <w:color w:val="222222"/>
          <w:rtl w:val="0"/>
        </w:rPr>
        <w:t xml:space="preserve">, soit pour rédiger un One-pager, soit pour rejoindre une équipe de lecteurs critiques d’un One-pager.</w:t>
      </w:r>
    </w:p>
    <w:sectPr>
      <w:footerReference r:id="rId11" w:type="default"/>
      <w:pgSz w:h="15840" w:w="12240" w:orient="portrait"/>
      <w:pgMar w:bottom="720" w:top="720" w:left="720" w:right="72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1"/>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1"/>
        <w:strike w:val="0"/>
        <w:color w:val="4472c4"/>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1"/>
        <w:strike w:val="0"/>
        <w:color w:val="4472c4"/>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1"/>
        <w:strike w:val="0"/>
        <w:color w:val="4472c4"/>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rwaddle@forumopportunite.com" TargetMode="External"/><Relationship Id="rId9" Type="http://schemas.openxmlformats.org/officeDocument/2006/relationships/hyperlink" Target="https://www.linkedin.com/in/jobpaw/" TargetMode="External"/><Relationship Id="rId5" Type="http://schemas.openxmlformats.org/officeDocument/2006/relationships/styles" Target="styles.xml"/><Relationship Id="rId6" Type="http://schemas.openxmlformats.org/officeDocument/2006/relationships/hyperlink" Target="https://www.forumopportunite.com/Rapport-Forum2019/Annexe-1.zip" TargetMode="External"/><Relationship Id="rId7" Type="http://schemas.openxmlformats.org/officeDocument/2006/relationships/hyperlink" Target="https://www.undp.org/sites/g/files/zskgke326/files/migration/ht/UNDP-HT-Livelihoods-Produits_typiques-20141016.pdf" TargetMode="External"/><Relationship Id="rId8" Type="http://schemas.openxmlformats.org/officeDocument/2006/relationships/hyperlink" Target="https://doczz.net/download/369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