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B2DB" w14:textId="77777777" w:rsidR="0025565E" w:rsidRDefault="00F21464">
      <w:pPr>
        <w:pBdr>
          <w:top w:val="nil"/>
          <w:left w:val="nil"/>
          <w:bottom w:val="nil"/>
          <w:right w:val="nil"/>
          <w:between w:val="nil"/>
        </w:pBdr>
        <w:ind w:hanging="576"/>
        <w:jc w:val="center"/>
        <w:rPr>
          <w:color w:val="000000"/>
          <w:sz w:val="20"/>
          <w:szCs w:val="20"/>
          <w:u w:val="single"/>
        </w:rPr>
      </w:pPr>
      <w:r>
        <w:rPr>
          <w:noProof/>
        </w:rPr>
        <w:drawing>
          <wp:anchor distT="0" distB="0" distL="114300" distR="114300" simplePos="0" relativeHeight="251658240" behindDoc="0" locked="0" layoutInCell="1" hidden="0" allowOverlap="1" wp14:anchorId="7BAA35F7" wp14:editId="4BE53187">
            <wp:simplePos x="0" y="0"/>
            <wp:positionH relativeFrom="column">
              <wp:posOffset>2568983</wp:posOffset>
            </wp:positionH>
            <wp:positionV relativeFrom="paragraph">
              <wp:posOffset>-199304</wp:posOffset>
            </wp:positionV>
            <wp:extent cx="495300" cy="437845"/>
            <wp:effectExtent l="0" t="0" r="0" b="0"/>
            <wp:wrapNone/>
            <wp:docPr id="5" name="image5.jpg" descr="C:\Users\arsel\Documents\Consultations Arsel\Consultations from April 2020\PADF\Nouveau PGRAC\Implementation\Communication\Logos\menfp-logo.jpg"/>
            <wp:cNvGraphicFramePr/>
            <a:graphic xmlns:a="http://schemas.openxmlformats.org/drawingml/2006/main">
              <a:graphicData uri="http://schemas.openxmlformats.org/drawingml/2006/picture">
                <pic:pic xmlns:pic="http://schemas.openxmlformats.org/drawingml/2006/picture">
                  <pic:nvPicPr>
                    <pic:cNvPr id="0" name="image5.jpg" descr="C:\Users\arsel\Documents\Consultations Arsel\Consultations from April 2020\PADF\Nouveau PGRAC\Implementation\Communication\Logos\menfp-logo.jpg"/>
                    <pic:cNvPicPr preferRelativeResize="0"/>
                  </pic:nvPicPr>
                  <pic:blipFill>
                    <a:blip r:embed="rId9"/>
                    <a:srcRect t="3318" r="7226" b="2539"/>
                    <a:stretch>
                      <a:fillRect/>
                    </a:stretch>
                  </pic:blipFill>
                  <pic:spPr>
                    <a:xfrm>
                      <a:off x="0" y="0"/>
                      <a:ext cx="495300" cy="43784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2A9D7FE" wp14:editId="38CFFDD8">
            <wp:simplePos x="0" y="0"/>
            <wp:positionH relativeFrom="column">
              <wp:posOffset>3731414</wp:posOffset>
            </wp:positionH>
            <wp:positionV relativeFrom="paragraph">
              <wp:posOffset>-140969</wp:posOffset>
            </wp:positionV>
            <wp:extent cx="749850" cy="342900"/>
            <wp:effectExtent l="0" t="0" r="0" b="0"/>
            <wp:wrapNone/>
            <wp:docPr id="3" name="image4.jpg" descr="La Banque mondiale approuve un don de 33 millions de dollars pour stimuler  la reprise post-COVID-19 en Haïti – Haïti Infos Pro"/>
            <wp:cNvGraphicFramePr/>
            <a:graphic xmlns:a="http://schemas.openxmlformats.org/drawingml/2006/main">
              <a:graphicData uri="http://schemas.openxmlformats.org/drawingml/2006/picture">
                <pic:pic xmlns:pic="http://schemas.openxmlformats.org/drawingml/2006/picture">
                  <pic:nvPicPr>
                    <pic:cNvPr id="0" name="image4.jpg" descr="La Banque mondiale approuve un don de 33 millions de dollars pour stimuler  la reprise post-COVID-19 en Haïti – Haïti Infos Pro"/>
                    <pic:cNvPicPr preferRelativeResize="0"/>
                  </pic:nvPicPr>
                  <pic:blipFill>
                    <a:blip r:embed="rId10"/>
                    <a:srcRect/>
                    <a:stretch>
                      <a:fillRect/>
                    </a:stretch>
                  </pic:blipFill>
                  <pic:spPr>
                    <a:xfrm>
                      <a:off x="0" y="0"/>
                      <a:ext cx="749850" cy="342900"/>
                    </a:xfrm>
                    <a:prstGeom prst="rect">
                      <a:avLst/>
                    </a:prstGeom>
                    <a:ln/>
                  </pic:spPr>
                </pic:pic>
              </a:graphicData>
            </a:graphic>
          </wp:anchor>
        </w:drawing>
      </w:r>
    </w:p>
    <w:p w14:paraId="6B775D1D" w14:textId="77777777" w:rsidR="0025565E" w:rsidRDefault="0025565E">
      <w:pPr>
        <w:pStyle w:val="Title"/>
        <w:spacing w:after="0"/>
        <w:ind w:left="0"/>
        <w:rPr>
          <w:rFonts w:ascii="Times" w:eastAsia="Times" w:hAnsi="Times" w:cs="Times"/>
          <w:sz w:val="20"/>
          <w:szCs w:val="20"/>
        </w:rPr>
      </w:pPr>
    </w:p>
    <w:p w14:paraId="5D3C0E68" w14:textId="77777777" w:rsidR="0025565E" w:rsidRDefault="0025565E">
      <w:pPr>
        <w:pStyle w:val="Title"/>
        <w:spacing w:after="0"/>
        <w:ind w:left="0"/>
        <w:jc w:val="both"/>
        <w:rPr>
          <w:rFonts w:ascii="Times" w:eastAsia="Times" w:hAnsi="Times" w:cs="Times"/>
          <w:sz w:val="20"/>
          <w:szCs w:val="20"/>
        </w:rPr>
      </w:pPr>
    </w:p>
    <w:p w14:paraId="640182C5" w14:textId="77777777" w:rsidR="0025565E" w:rsidRDefault="00F21464">
      <w:pPr>
        <w:pStyle w:val="Title"/>
        <w:spacing w:after="0"/>
        <w:ind w:left="0"/>
        <w:rPr>
          <w:rFonts w:ascii="Times" w:eastAsia="Times" w:hAnsi="Times" w:cs="Times"/>
          <w:sz w:val="40"/>
          <w:szCs w:val="40"/>
        </w:rPr>
      </w:pPr>
      <w:r>
        <w:rPr>
          <w:rFonts w:ascii="Times" w:eastAsia="Times" w:hAnsi="Times" w:cs="Times"/>
          <w:sz w:val="40"/>
          <w:szCs w:val="40"/>
        </w:rPr>
        <w:t>Avis Spécifique de Passation de Marchés</w:t>
      </w:r>
    </w:p>
    <w:p w14:paraId="2902BB5A" w14:textId="77777777" w:rsidR="0025565E" w:rsidRDefault="0025565E">
      <w:pPr>
        <w:pStyle w:val="Title"/>
        <w:spacing w:after="0"/>
        <w:ind w:left="0"/>
        <w:rPr>
          <w:rFonts w:ascii="Times" w:eastAsia="Times" w:hAnsi="Times" w:cs="Times"/>
          <w:sz w:val="40"/>
          <w:szCs w:val="40"/>
        </w:rPr>
      </w:pPr>
    </w:p>
    <w:p w14:paraId="68DA21DE" w14:textId="77777777" w:rsidR="0025565E" w:rsidRDefault="00F21464">
      <w:pPr>
        <w:pStyle w:val="Title"/>
        <w:spacing w:after="0"/>
        <w:ind w:left="0"/>
        <w:rPr>
          <w:rFonts w:ascii="Times" w:eastAsia="Times" w:hAnsi="Times" w:cs="Times"/>
        </w:rPr>
      </w:pPr>
      <w:r>
        <w:rPr>
          <w:rFonts w:ascii="Times" w:eastAsia="Times" w:hAnsi="Times" w:cs="Times"/>
        </w:rPr>
        <w:t>APPEL D’OFFRES</w:t>
      </w:r>
    </w:p>
    <w:p w14:paraId="13522801" w14:textId="77777777" w:rsidR="0025565E" w:rsidRDefault="00F21464">
      <w:pPr>
        <w:spacing w:after="0"/>
        <w:ind w:left="0"/>
        <w:jc w:val="center"/>
        <w:rPr>
          <w:b/>
          <w:sz w:val="32"/>
          <w:szCs w:val="32"/>
        </w:rPr>
      </w:pPr>
      <w:r>
        <w:rPr>
          <w:b/>
          <w:sz w:val="32"/>
          <w:szCs w:val="32"/>
        </w:rPr>
        <w:t xml:space="preserve">Avis d’Appel d’offres </w:t>
      </w:r>
    </w:p>
    <w:p w14:paraId="51D5667C" w14:textId="77777777" w:rsidR="0025565E" w:rsidRDefault="00F21464">
      <w:pPr>
        <w:spacing w:before="120" w:after="0"/>
        <w:ind w:left="0"/>
        <w:jc w:val="center"/>
        <w:rPr>
          <w:b/>
          <w:sz w:val="28"/>
          <w:szCs w:val="28"/>
        </w:rPr>
      </w:pPr>
      <w:r>
        <w:rPr>
          <w:b/>
          <w:sz w:val="28"/>
          <w:szCs w:val="28"/>
        </w:rPr>
        <w:t>(Procédure à enveloppe unique)</w:t>
      </w:r>
    </w:p>
    <w:p w14:paraId="02C97EC3" w14:textId="77777777" w:rsidR="0025565E" w:rsidRDefault="0025565E">
      <w:pPr>
        <w:spacing w:before="120" w:after="120"/>
        <w:ind w:left="0"/>
        <w:rPr>
          <w:b/>
          <w:sz w:val="21"/>
          <w:szCs w:val="21"/>
        </w:rPr>
      </w:pPr>
    </w:p>
    <w:p w14:paraId="0710BEE8" w14:textId="77777777" w:rsidR="0025565E" w:rsidRDefault="00F21464">
      <w:pPr>
        <w:spacing w:before="60" w:after="60"/>
        <w:ind w:left="0"/>
        <w:rPr>
          <w:i/>
          <w:sz w:val="21"/>
          <w:szCs w:val="21"/>
        </w:rPr>
      </w:pPr>
      <w:r>
        <w:rPr>
          <w:b/>
          <w:i/>
          <w:sz w:val="21"/>
          <w:szCs w:val="21"/>
        </w:rPr>
        <w:t>Pays :</w:t>
      </w:r>
      <w:r>
        <w:rPr>
          <w:i/>
          <w:sz w:val="21"/>
          <w:szCs w:val="21"/>
        </w:rPr>
        <w:t xml:space="preserve"> </w:t>
      </w:r>
      <w:r>
        <w:rPr>
          <w:sz w:val="21"/>
          <w:szCs w:val="21"/>
        </w:rPr>
        <w:t>Haïti</w:t>
      </w:r>
    </w:p>
    <w:p w14:paraId="28788960" w14:textId="77777777" w:rsidR="0025565E" w:rsidRDefault="00F21464">
      <w:pPr>
        <w:spacing w:after="0"/>
        <w:ind w:left="0"/>
      </w:pPr>
      <w:r>
        <w:rPr>
          <w:b/>
          <w:i/>
          <w:sz w:val="21"/>
          <w:szCs w:val="21"/>
        </w:rPr>
        <w:t>Nom du projet</w:t>
      </w:r>
      <w:r>
        <w:rPr>
          <w:i/>
          <w:sz w:val="21"/>
          <w:szCs w:val="21"/>
        </w:rPr>
        <w:t> </w:t>
      </w:r>
      <w:r>
        <w:rPr>
          <w:b/>
          <w:i/>
          <w:sz w:val="21"/>
          <w:szCs w:val="21"/>
        </w:rPr>
        <w:t>:</w:t>
      </w:r>
      <w:r>
        <w:rPr>
          <w:i/>
          <w:sz w:val="21"/>
          <w:szCs w:val="21"/>
        </w:rPr>
        <w:t xml:space="preserve"> </w:t>
      </w:r>
      <w:r>
        <w:rPr>
          <w:color w:val="000000"/>
        </w:rPr>
        <w:t>Projet de Gestion Des Risques et de Résilience aux Aléas Climatiques (PGRAC)</w:t>
      </w:r>
    </w:p>
    <w:p w14:paraId="333AF019" w14:textId="77777777" w:rsidR="0025565E" w:rsidRDefault="00F21464">
      <w:pPr>
        <w:spacing w:before="60" w:after="60"/>
        <w:ind w:left="0"/>
        <w:rPr>
          <w:i/>
          <w:sz w:val="21"/>
          <w:szCs w:val="21"/>
        </w:rPr>
      </w:pPr>
      <w:r>
        <w:rPr>
          <w:b/>
          <w:i/>
          <w:sz w:val="21"/>
          <w:szCs w:val="21"/>
        </w:rPr>
        <w:t>Numéro du don</w:t>
      </w:r>
      <w:r>
        <w:rPr>
          <w:i/>
          <w:sz w:val="21"/>
          <w:szCs w:val="21"/>
        </w:rPr>
        <w:t xml:space="preserve"> </w:t>
      </w:r>
      <w:r>
        <w:rPr>
          <w:b/>
          <w:i/>
          <w:sz w:val="21"/>
          <w:szCs w:val="21"/>
        </w:rPr>
        <w:t>:</w:t>
      </w:r>
      <w:r>
        <w:rPr>
          <w:b/>
        </w:rPr>
        <w:t xml:space="preserve"> </w:t>
      </w:r>
      <w:r>
        <w:rPr>
          <w:color w:val="000000"/>
        </w:rPr>
        <w:t>IDA-D4720 et IDA-E0450</w:t>
      </w:r>
    </w:p>
    <w:p w14:paraId="7719BD91" w14:textId="77777777" w:rsidR="0025565E" w:rsidRDefault="00F21464">
      <w:pPr>
        <w:spacing w:before="60" w:after="60"/>
        <w:ind w:left="0"/>
        <w:rPr>
          <w:i/>
          <w:sz w:val="21"/>
          <w:szCs w:val="21"/>
        </w:rPr>
      </w:pPr>
      <w:r>
        <w:rPr>
          <w:b/>
          <w:i/>
          <w:sz w:val="21"/>
          <w:szCs w:val="21"/>
        </w:rPr>
        <w:t>Intitulé du Marché</w:t>
      </w:r>
      <w:r>
        <w:rPr>
          <w:i/>
          <w:sz w:val="21"/>
          <w:szCs w:val="21"/>
        </w:rPr>
        <w:t> </w:t>
      </w:r>
      <w:r>
        <w:rPr>
          <w:b/>
          <w:i/>
          <w:sz w:val="21"/>
          <w:szCs w:val="21"/>
        </w:rPr>
        <w:t xml:space="preserve">: </w:t>
      </w:r>
      <w:r>
        <w:rPr>
          <w:b/>
          <w:color w:val="000000"/>
        </w:rPr>
        <w:t>Travaux de construction des abris provisoire dans les Nippes, répartis en 4 lots :</w:t>
      </w:r>
      <w:r>
        <w:rPr>
          <w:i/>
          <w:sz w:val="21"/>
          <w:szCs w:val="21"/>
        </w:rPr>
        <w:t xml:space="preserve"> </w:t>
      </w:r>
      <w:r>
        <w:rPr>
          <w:b/>
          <w:color w:val="000000"/>
        </w:rPr>
        <w:t>Lot 1 : Construction d'abris Provisoire - Plaisance, Lot 2- Construction d'abris Provisoire – Mussotte ; Lot 3- Construction d'abris provisoire - Anse-à-Veau; Lot 4- Construction d'abris provisoire – Joly.</w:t>
      </w:r>
    </w:p>
    <w:p w14:paraId="318A5B00" w14:textId="77777777" w:rsidR="0025565E" w:rsidRDefault="0025565E">
      <w:pPr>
        <w:spacing w:after="0"/>
        <w:ind w:left="0"/>
        <w:rPr>
          <w:b/>
          <w:i/>
          <w:sz w:val="21"/>
          <w:szCs w:val="21"/>
        </w:rPr>
      </w:pPr>
    </w:p>
    <w:p w14:paraId="23D1DFDA" w14:textId="77777777" w:rsidR="0025565E" w:rsidRDefault="00F21464">
      <w:pPr>
        <w:spacing w:after="0"/>
        <w:ind w:left="0"/>
      </w:pPr>
      <w:r>
        <w:rPr>
          <w:b/>
          <w:i/>
          <w:sz w:val="21"/>
          <w:szCs w:val="21"/>
        </w:rPr>
        <w:t>Référence DAO N</w:t>
      </w:r>
      <w:r>
        <w:rPr>
          <w:b/>
          <w:i/>
          <w:sz w:val="21"/>
          <w:szCs w:val="21"/>
          <w:vertAlign w:val="superscript"/>
        </w:rPr>
        <w:t>o</w:t>
      </w:r>
      <w:r>
        <w:rPr>
          <w:i/>
          <w:sz w:val="21"/>
          <w:szCs w:val="21"/>
          <w:vertAlign w:val="superscript"/>
        </w:rPr>
        <w:t>:</w:t>
      </w:r>
      <w:r>
        <w:rPr>
          <w:i/>
          <w:sz w:val="21"/>
          <w:szCs w:val="21"/>
        </w:rPr>
        <w:t xml:space="preserve"> </w:t>
      </w:r>
      <w:r>
        <w:rPr>
          <w:color w:val="000000"/>
          <w:sz w:val="20"/>
          <w:szCs w:val="20"/>
          <w:highlight w:val="white"/>
        </w:rPr>
        <w:t>HT-PGRAC-MDOD-01-CW-RFB</w:t>
      </w:r>
    </w:p>
    <w:p w14:paraId="4585614C" w14:textId="77777777" w:rsidR="0025565E" w:rsidRDefault="0025565E">
      <w:pPr>
        <w:spacing w:after="0"/>
        <w:ind w:left="0"/>
        <w:rPr>
          <w:i/>
          <w:sz w:val="21"/>
          <w:szCs w:val="21"/>
        </w:rPr>
      </w:pPr>
    </w:p>
    <w:p w14:paraId="28F275CE" w14:textId="77777777" w:rsidR="0025565E" w:rsidRDefault="00F21464">
      <w:pPr>
        <w:numPr>
          <w:ilvl w:val="0"/>
          <w:numId w:val="2"/>
        </w:numPr>
        <w:spacing w:after="120"/>
        <w:rPr>
          <w:i/>
          <w:sz w:val="22"/>
          <w:szCs w:val="22"/>
        </w:rPr>
      </w:pPr>
      <w:r>
        <w:rPr>
          <w:sz w:val="22"/>
          <w:szCs w:val="22"/>
        </w:rPr>
        <w:t xml:space="preserve">La République d’Haïti a reçu un financement de la Banque Mondiale pour financer le </w:t>
      </w:r>
      <w:r>
        <w:rPr>
          <w:b/>
          <w:i/>
          <w:sz w:val="22"/>
          <w:szCs w:val="22"/>
        </w:rPr>
        <w:t>Projet de Gestion des Risques et de Résilience aux Aléas Climatiques</w:t>
      </w:r>
      <w:r>
        <w:rPr>
          <w:i/>
          <w:sz w:val="22"/>
          <w:szCs w:val="22"/>
        </w:rPr>
        <w:t>,</w:t>
      </w:r>
      <w:r>
        <w:rPr>
          <w:sz w:val="22"/>
          <w:szCs w:val="22"/>
        </w:rPr>
        <w:t xml:space="preserve"> mise en œuvre par l’Unité de Coordination de Projets du </w:t>
      </w:r>
      <w:r>
        <w:rPr>
          <w:b/>
          <w:sz w:val="22"/>
          <w:szCs w:val="22"/>
        </w:rPr>
        <w:t xml:space="preserve">Ministère </w:t>
      </w:r>
      <w:r>
        <w:rPr>
          <w:b/>
          <w:color w:val="000000"/>
          <w:sz w:val="22"/>
          <w:szCs w:val="22"/>
        </w:rPr>
        <w:t xml:space="preserve">l’Intérieur et des Collectivités Territoriales (DGPC/UCP-MICT) pour lequel VIVARIO agit à titre de </w:t>
      </w:r>
      <w:r>
        <w:rPr>
          <w:b/>
          <w:sz w:val="22"/>
          <w:szCs w:val="22"/>
        </w:rPr>
        <w:t>maître</w:t>
      </w:r>
      <w:r>
        <w:rPr>
          <w:b/>
          <w:color w:val="000000"/>
          <w:sz w:val="22"/>
          <w:szCs w:val="22"/>
        </w:rPr>
        <w:t xml:space="preserve"> d’ouvrage délégué. La VIVARIO</w:t>
      </w:r>
      <w:r>
        <w:rPr>
          <w:sz w:val="22"/>
          <w:szCs w:val="22"/>
        </w:rPr>
        <w:t xml:space="preserve"> a l’intention d’utiliser une partie de ce financement pour effectuer des paiements au titre du Marché « Travaux de construction des abris provisoire dans les Nippes, répartis en 4 lots </w:t>
      </w:r>
      <w:r>
        <w:rPr>
          <w:b/>
          <w:color w:val="000000"/>
          <w:sz w:val="22"/>
          <w:szCs w:val="22"/>
        </w:rPr>
        <w:t>Lot 1 : Construction d'abris Provisoire - Plaisance, Lot 2- Construction d'abris Provisoire – Mussotte ; Lot 3- Construction d'abris provisoire - Anse-à-Veau ; Lot 4- Construction d'abris provisoire – Joly.</w:t>
      </w:r>
    </w:p>
    <w:p w14:paraId="789E2777" w14:textId="77777777" w:rsidR="0025565E" w:rsidRDefault="0025565E">
      <w:pPr>
        <w:spacing w:after="120"/>
        <w:ind w:left="720"/>
        <w:rPr>
          <w:sz w:val="21"/>
          <w:szCs w:val="21"/>
        </w:rPr>
      </w:pPr>
    </w:p>
    <w:p w14:paraId="665CF2F2" w14:textId="77777777" w:rsidR="0025565E" w:rsidRDefault="00F21464">
      <w:pPr>
        <w:numPr>
          <w:ilvl w:val="0"/>
          <w:numId w:val="2"/>
        </w:numPr>
        <w:pBdr>
          <w:top w:val="nil"/>
          <w:left w:val="nil"/>
          <w:bottom w:val="nil"/>
          <w:right w:val="nil"/>
          <w:between w:val="nil"/>
        </w:pBdr>
        <w:spacing w:after="120"/>
        <w:rPr>
          <w:color w:val="000000"/>
          <w:sz w:val="22"/>
          <w:szCs w:val="22"/>
        </w:rPr>
      </w:pPr>
      <w:r>
        <w:rPr>
          <w:color w:val="000000"/>
          <w:sz w:val="22"/>
          <w:szCs w:val="22"/>
        </w:rPr>
        <w:t xml:space="preserve">VIVARIO, invite, par la présente, les Soumissionnaires de pays éligibles à soumettre des Offres sous plis fermés, pour la réalisation des travaux de construction de 4 abris provisoires </w:t>
      </w:r>
      <w:r>
        <w:rPr>
          <w:b/>
          <w:sz w:val="22"/>
          <w:szCs w:val="22"/>
        </w:rPr>
        <w:t>répartis</w:t>
      </w:r>
      <w:r>
        <w:rPr>
          <w:b/>
          <w:color w:val="000000"/>
          <w:sz w:val="22"/>
          <w:szCs w:val="22"/>
        </w:rPr>
        <w:t xml:space="preserve"> en </w:t>
      </w:r>
      <w:r>
        <w:rPr>
          <w:b/>
          <w:sz w:val="22"/>
          <w:szCs w:val="22"/>
        </w:rPr>
        <w:t>4</w:t>
      </w:r>
      <w:r>
        <w:rPr>
          <w:b/>
          <w:color w:val="000000"/>
          <w:sz w:val="22"/>
          <w:szCs w:val="22"/>
        </w:rPr>
        <w:t xml:space="preserve"> lots : Lot 1 : Construction d'abris Provisoire</w:t>
      </w:r>
      <w:r>
        <w:rPr>
          <w:color w:val="000000"/>
          <w:sz w:val="22"/>
          <w:szCs w:val="22"/>
        </w:rPr>
        <w:t xml:space="preserve"> </w:t>
      </w:r>
      <w:r>
        <w:rPr>
          <w:b/>
          <w:color w:val="000000"/>
          <w:sz w:val="22"/>
          <w:szCs w:val="22"/>
        </w:rPr>
        <w:t>- Plaisance, Lot 2- Construction d'abris Provisoire</w:t>
      </w:r>
      <w:r>
        <w:rPr>
          <w:color w:val="000000"/>
          <w:sz w:val="22"/>
          <w:szCs w:val="22"/>
        </w:rPr>
        <w:t xml:space="preserve"> –</w:t>
      </w:r>
      <w:r>
        <w:rPr>
          <w:b/>
          <w:color w:val="000000"/>
          <w:sz w:val="22"/>
          <w:szCs w:val="22"/>
        </w:rPr>
        <w:t xml:space="preserve"> Mussotte</w:t>
      </w:r>
      <w:r>
        <w:rPr>
          <w:color w:val="000000"/>
          <w:sz w:val="22"/>
          <w:szCs w:val="22"/>
        </w:rPr>
        <w:t xml:space="preserve"> </w:t>
      </w:r>
      <w:r>
        <w:rPr>
          <w:b/>
          <w:color w:val="000000"/>
          <w:sz w:val="22"/>
          <w:szCs w:val="22"/>
        </w:rPr>
        <w:t>; Lot 3- Construction d'abris provisoire</w:t>
      </w:r>
      <w:r>
        <w:rPr>
          <w:color w:val="000000"/>
          <w:sz w:val="22"/>
          <w:szCs w:val="22"/>
        </w:rPr>
        <w:t xml:space="preserve"> </w:t>
      </w:r>
      <w:r>
        <w:rPr>
          <w:b/>
          <w:color w:val="000000"/>
          <w:sz w:val="22"/>
          <w:szCs w:val="22"/>
        </w:rPr>
        <w:t>- Anse-à-Veau</w:t>
      </w:r>
      <w:r>
        <w:rPr>
          <w:color w:val="000000"/>
          <w:sz w:val="22"/>
          <w:szCs w:val="22"/>
        </w:rPr>
        <w:t>;</w:t>
      </w:r>
      <w:r>
        <w:rPr>
          <w:b/>
          <w:color w:val="000000"/>
          <w:sz w:val="22"/>
          <w:szCs w:val="22"/>
        </w:rPr>
        <w:t xml:space="preserve"> Lot 4- Construction d'abris provisoire</w:t>
      </w:r>
      <w:r>
        <w:rPr>
          <w:color w:val="000000"/>
          <w:sz w:val="22"/>
          <w:szCs w:val="22"/>
        </w:rPr>
        <w:t xml:space="preserve"> – </w:t>
      </w:r>
      <w:r>
        <w:rPr>
          <w:b/>
          <w:color w:val="000000"/>
          <w:sz w:val="22"/>
          <w:szCs w:val="22"/>
        </w:rPr>
        <w:t>Joly.</w:t>
      </w:r>
      <w:r>
        <w:rPr>
          <w:color w:val="000000"/>
          <w:sz w:val="22"/>
          <w:szCs w:val="22"/>
        </w:rPr>
        <w:t xml:space="preserve"> La procédure sera conduite par mise en concurrence nationale en recourant à un Appel d’Offres (AO) telle que définie dans le « </w:t>
      </w:r>
      <w:r>
        <w:rPr>
          <w:i/>
          <w:color w:val="000000"/>
          <w:sz w:val="22"/>
          <w:szCs w:val="22"/>
        </w:rPr>
        <w:t>Règlement de Passation des Marchés pour les Emprunteurs sollicitant le financement de Projets d’Investissement (FPI) </w:t>
      </w:r>
      <w:r>
        <w:rPr>
          <w:color w:val="000000"/>
          <w:sz w:val="22"/>
          <w:szCs w:val="22"/>
        </w:rPr>
        <w:t>» - Juillet 2016 de la Banque Mondiale (« le Règlement de passation des marchés »), et ouverte à tous les soumissionnaires de pays éligibles tels que définis dans les Règles de passation des marchés.</w:t>
      </w:r>
    </w:p>
    <w:p w14:paraId="16E10B5A" w14:textId="77777777" w:rsidR="0025565E" w:rsidRDefault="00F21464">
      <w:pPr>
        <w:numPr>
          <w:ilvl w:val="0"/>
          <w:numId w:val="2"/>
        </w:numPr>
        <w:spacing w:before="240" w:after="120"/>
        <w:rPr>
          <w:sz w:val="22"/>
          <w:szCs w:val="22"/>
        </w:rPr>
      </w:pPr>
      <w:r>
        <w:rPr>
          <w:sz w:val="22"/>
          <w:szCs w:val="22"/>
        </w:rPr>
        <w:t xml:space="preserve">Les Soumissionnaires intéressés et éligibles peuvent obtenir des informations auprès de la Passation des Marchés de VIVARIO à l’adresse : </w:t>
      </w:r>
      <w:hyperlink r:id="rId11">
        <w:r>
          <w:rPr>
            <w:rFonts w:ascii="Calibri" w:eastAsia="Calibri" w:hAnsi="Calibri" w:cs="Calibri"/>
            <w:color w:val="0000FF"/>
            <w:sz w:val="22"/>
            <w:szCs w:val="22"/>
            <w:u w:val="single"/>
          </w:rPr>
          <w:t>passationdemarches@vivariohaiti.org</w:t>
        </w:r>
      </w:hyperlink>
      <w:r>
        <w:rPr>
          <w:rFonts w:ascii="Calibri" w:eastAsia="Calibri" w:hAnsi="Calibri" w:cs="Calibri"/>
          <w:color w:val="1155CC"/>
          <w:sz w:val="22"/>
          <w:szCs w:val="22"/>
        </w:rPr>
        <w:t xml:space="preserve">, </w:t>
      </w:r>
      <w:r>
        <w:rPr>
          <w:sz w:val="22"/>
          <w:szCs w:val="22"/>
        </w:rPr>
        <w:t xml:space="preserve"> à l’attention du Spécialiste en Passation de Marchés VIVARIO.</w:t>
      </w:r>
    </w:p>
    <w:p w14:paraId="527D4294" w14:textId="77777777" w:rsidR="0025565E" w:rsidRDefault="00F21464">
      <w:pPr>
        <w:numPr>
          <w:ilvl w:val="0"/>
          <w:numId w:val="2"/>
        </w:numPr>
        <w:spacing w:before="240" w:after="120"/>
        <w:rPr>
          <w:sz w:val="21"/>
          <w:szCs w:val="21"/>
        </w:rPr>
      </w:pPr>
      <w:bookmarkStart w:id="0" w:name="_heading=h.17dp8vu" w:colFirst="0" w:colLast="0"/>
      <w:bookmarkEnd w:id="0"/>
      <w:r>
        <w:rPr>
          <w:sz w:val="21"/>
          <w:szCs w:val="21"/>
        </w:rPr>
        <w:lastRenderedPageBreak/>
        <w:t xml:space="preserve">Le Dossier d’Appel d’offres en français peut être sollicité par tout Soumissionnaire intéressé en formulant une demande écrite à </w:t>
      </w:r>
      <w:hyperlink r:id="rId12">
        <w:r>
          <w:rPr>
            <w:rFonts w:ascii="Calibri" w:eastAsia="Calibri" w:hAnsi="Calibri" w:cs="Calibri"/>
            <w:color w:val="1155CC"/>
            <w:sz w:val="22"/>
            <w:szCs w:val="22"/>
            <w:u w:val="single"/>
          </w:rPr>
          <w:t>passationdemarches@vivariohaiti.org</w:t>
        </w:r>
      </w:hyperlink>
      <w:r>
        <w:rPr>
          <w:rFonts w:ascii="Calibri" w:eastAsia="Calibri" w:hAnsi="Calibri" w:cs="Calibri"/>
          <w:color w:val="1155CC"/>
          <w:sz w:val="22"/>
          <w:szCs w:val="22"/>
        </w:rPr>
        <w:t xml:space="preserve"> </w:t>
      </w:r>
      <w:r>
        <w:rPr>
          <w:sz w:val="21"/>
          <w:szCs w:val="21"/>
        </w:rPr>
        <w:t xml:space="preserve">et le document sera soumis par retour du courriel. </w:t>
      </w:r>
    </w:p>
    <w:p w14:paraId="2A6FFB2A" w14:textId="77777777" w:rsidR="0025565E" w:rsidRDefault="00F21464">
      <w:pPr>
        <w:numPr>
          <w:ilvl w:val="0"/>
          <w:numId w:val="2"/>
        </w:numPr>
        <w:spacing w:before="240" w:after="120"/>
        <w:rPr>
          <w:sz w:val="21"/>
          <w:szCs w:val="21"/>
        </w:rPr>
      </w:pPr>
      <w:r>
        <w:rPr>
          <w:sz w:val="21"/>
          <w:szCs w:val="21"/>
        </w:rPr>
        <w:t xml:space="preserve">Les offres devront être remises à l’adresse mentionnée ci-dessous au plus tard le </w:t>
      </w:r>
      <w:r>
        <w:rPr>
          <w:b/>
          <w:sz w:val="21"/>
          <w:szCs w:val="21"/>
        </w:rPr>
        <w:t>12 janvier 2024 à treize heures (13 :00), heure locale</w:t>
      </w:r>
      <w:r>
        <w:rPr>
          <w:sz w:val="21"/>
          <w:szCs w:val="21"/>
        </w:rPr>
        <w:t xml:space="preserve">. </w:t>
      </w:r>
      <w:r>
        <w:rPr>
          <w:b/>
          <w:sz w:val="21"/>
          <w:szCs w:val="21"/>
        </w:rPr>
        <w:t>La soumission des offres par voie électronique ne sera pas autorisée</w:t>
      </w:r>
      <w:r>
        <w:rPr>
          <w:sz w:val="21"/>
          <w:szCs w:val="21"/>
        </w:rPr>
        <w:t xml:space="preserve">. </w:t>
      </w:r>
      <w:r>
        <w:rPr>
          <w:b/>
          <w:sz w:val="21"/>
          <w:szCs w:val="21"/>
        </w:rPr>
        <w:t>Les offres remises en retard ne seront pas acceptées</w:t>
      </w:r>
      <w:r>
        <w:rPr>
          <w:sz w:val="21"/>
          <w:szCs w:val="21"/>
        </w:rPr>
        <w:t xml:space="preserve">. Les offres seront ouvertes en présence des représentants des soumissionnaires et des personnes présentes à la même adresse le </w:t>
      </w:r>
      <w:r>
        <w:rPr>
          <w:b/>
          <w:sz w:val="21"/>
          <w:szCs w:val="21"/>
        </w:rPr>
        <w:t>12 janvier 2024</w:t>
      </w:r>
      <w:r>
        <w:rPr>
          <w:sz w:val="21"/>
          <w:szCs w:val="21"/>
        </w:rPr>
        <w:t>, à treize heure trente (13 :30), heure locale.</w:t>
      </w:r>
    </w:p>
    <w:p w14:paraId="2503341B" w14:textId="77777777" w:rsidR="0025565E" w:rsidRDefault="00F21464">
      <w:pPr>
        <w:pBdr>
          <w:top w:val="nil"/>
          <w:left w:val="nil"/>
          <w:bottom w:val="nil"/>
          <w:right w:val="nil"/>
          <w:between w:val="nil"/>
        </w:pBdr>
        <w:spacing w:after="0"/>
        <w:ind w:left="1260" w:hanging="540"/>
        <w:jc w:val="left"/>
        <w:rPr>
          <w:b/>
          <w:color w:val="000000"/>
          <w:sz w:val="21"/>
          <w:szCs w:val="21"/>
        </w:rPr>
      </w:pPr>
      <w:r>
        <w:rPr>
          <w:b/>
          <w:color w:val="000000"/>
          <w:sz w:val="21"/>
          <w:szCs w:val="21"/>
        </w:rPr>
        <w:t>Taciana Charles</w:t>
      </w:r>
    </w:p>
    <w:p w14:paraId="06F2ABFB" w14:textId="77777777" w:rsidR="0025565E" w:rsidRDefault="00F21464">
      <w:pPr>
        <w:pBdr>
          <w:top w:val="nil"/>
          <w:left w:val="nil"/>
          <w:bottom w:val="nil"/>
          <w:right w:val="nil"/>
          <w:between w:val="nil"/>
        </w:pBdr>
        <w:spacing w:after="0"/>
        <w:ind w:left="1260" w:hanging="540"/>
        <w:jc w:val="left"/>
        <w:rPr>
          <w:b/>
          <w:color w:val="000000"/>
          <w:sz w:val="21"/>
          <w:szCs w:val="21"/>
        </w:rPr>
      </w:pPr>
      <w:r>
        <w:rPr>
          <w:b/>
          <w:color w:val="000000"/>
          <w:sz w:val="21"/>
          <w:szCs w:val="21"/>
        </w:rPr>
        <w:t>Bureau de VIVARIO #9, Basquin, Rte Nationale #2</w:t>
      </w:r>
    </w:p>
    <w:p w14:paraId="26BC6A31" w14:textId="77777777" w:rsidR="0025565E" w:rsidRDefault="00F21464">
      <w:pPr>
        <w:pBdr>
          <w:top w:val="nil"/>
          <w:left w:val="nil"/>
          <w:bottom w:val="nil"/>
          <w:right w:val="nil"/>
          <w:between w:val="nil"/>
        </w:pBdr>
        <w:spacing w:after="0"/>
        <w:ind w:left="1260" w:hanging="540"/>
        <w:jc w:val="left"/>
        <w:rPr>
          <w:b/>
          <w:color w:val="000000"/>
          <w:sz w:val="21"/>
          <w:szCs w:val="21"/>
        </w:rPr>
      </w:pPr>
      <w:r>
        <w:rPr>
          <w:b/>
          <w:color w:val="000000"/>
          <w:sz w:val="21"/>
          <w:szCs w:val="21"/>
        </w:rPr>
        <w:t>Ville: Miragoane / Nippes, Haïti (WI)</w:t>
      </w:r>
    </w:p>
    <w:p w14:paraId="2542A182" w14:textId="77777777" w:rsidR="0025565E" w:rsidRDefault="00F21464">
      <w:pPr>
        <w:pBdr>
          <w:top w:val="nil"/>
          <w:left w:val="nil"/>
          <w:bottom w:val="nil"/>
          <w:right w:val="nil"/>
          <w:between w:val="nil"/>
        </w:pBdr>
        <w:spacing w:after="0"/>
        <w:ind w:left="1260" w:hanging="540"/>
        <w:jc w:val="left"/>
        <w:rPr>
          <w:b/>
          <w:color w:val="000000"/>
          <w:sz w:val="21"/>
          <w:szCs w:val="21"/>
        </w:rPr>
      </w:pPr>
      <w:r>
        <w:rPr>
          <w:b/>
          <w:color w:val="000000"/>
          <w:sz w:val="21"/>
          <w:szCs w:val="21"/>
        </w:rPr>
        <w:t>Code postal : HT-7410</w:t>
      </w:r>
    </w:p>
    <w:p w14:paraId="083ACB8D" w14:textId="77777777" w:rsidR="0025565E" w:rsidRDefault="00F21464">
      <w:pPr>
        <w:pBdr>
          <w:top w:val="nil"/>
          <w:left w:val="nil"/>
          <w:bottom w:val="nil"/>
          <w:right w:val="nil"/>
          <w:between w:val="nil"/>
        </w:pBdr>
        <w:spacing w:after="0"/>
        <w:ind w:left="1260" w:hanging="540"/>
        <w:jc w:val="left"/>
        <w:rPr>
          <w:b/>
          <w:color w:val="000000"/>
          <w:sz w:val="21"/>
          <w:szCs w:val="21"/>
        </w:rPr>
      </w:pPr>
      <w:r>
        <w:rPr>
          <w:b/>
          <w:color w:val="000000"/>
          <w:sz w:val="21"/>
          <w:szCs w:val="21"/>
        </w:rPr>
        <w:t>Pays : Haïti</w:t>
      </w:r>
    </w:p>
    <w:p w14:paraId="529F9319" w14:textId="77777777" w:rsidR="0025565E" w:rsidRDefault="00F21464">
      <w:pPr>
        <w:pBdr>
          <w:top w:val="nil"/>
          <w:left w:val="nil"/>
          <w:bottom w:val="nil"/>
          <w:right w:val="nil"/>
          <w:between w:val="nil"/>
        </w:pBdr>
        <w:spacing w:after="0"/>
        <w:ind w:left="1260" w:hanging="540"/>
        <w:jc w:val="left"/>
        <w:rPr>
          <w:b/>
          <w:color w:val="000000"/>
          <w:sz w:val="21"/>
          <w:szCs w:val="21"/>
        </w:rPr>
      </w:pPr>
      <w:r>
        <w:rPr>
          <w:b/>
          <w:color w:val="000000"/>
          <w:sz w:val="21"/>
          <w:szCs w:val="21"/>
        </w:rPr>
        <w:t>Numéro de téléphone : 2912 6051 / 2813 8204</w:t>
      </w:r>
    </w:p>
    <w:p w14:paraId="4EDB0CBC" w14:textId="77777777" w:rsidR="0025565E" w:rsidRDefault="00F21464">
      <w:pPr>
        <w:pBdr>
          <w:top w:val="nil"/>
          <w:left w:val="nil"/>
          <w:bottom w:val="nil"/>
          <w:right w:val="nil"/>
          <w:between w:val="nil"/>
        </w:pBdr>
        <w:spacing w:after="0"/>
        <w:ind w:left="1260" w:hanging="540"/>
        <w:jc w:val="left"/>
        <w:rPr>
          <w:b/>
          <w:color w:val="000000"/>
          <w:sz w:val="21"/>
          <w:szCs w:val="21"/>
        </w:rPr>
      </w:pPr>
      <w:r>
        <w:rPr>
          <w:b/>
          <w:color w:val="000000"/>
          <w:sz w:val="21"/>
          <w:szCs w:val="21"/>
        </w:rPr>
        <w:t xml:space="preserve">Adresse électronique : </w:t>
      </w:r>
      <w:hyperlink r:id="rId13">
        <w:r>
          <w:rPr>
            <w:rFonts w:ascii="Calibri" w:eastAsia="Calibri" w:hAnsi="Calibri" w:cs="Calibri"/>
            <w:color w:val="1155CC"/>
            <w:sz w:val="22"/>
            <w:szCs w:val="22"/>
            <w:u w:val="single"/>
          </w:rPr>
          <w:t>passationdemarches@vivariohaiti.org</w:t>
        </w:r>
      </w:hyperlink>
    </w:p>
    <w:p w14:paraId="44845C4B" w14:textId="77777777" w:rsidR="0025565E" w:rsidRDefault="00F21464">
      <w:pPr>
        <w:numPr>
          <w:ilvl w:val="0"/>
          <w:numId w:val="2"/>
        </w:numPr>
        <w:spacing w:before="240" w:after="120"/>
        <w:rPr>
          <w:sz w:val="21"/>
          <w:szCs w:val="21"/>
        </w:rPr>
      </w:pPr>
      <w:r>
        <w:rPr>
          <w:sz w:val="21"/>
          <w:szCs w:val="21"/>
        </w:rPr>
        <w:t xml:space="preserve">Les offres doivent être accompagnées d’une garantie de soumission pour chaque lot conformément au modèle de garantie de soumission, se trouvant à la section IV (formulaire de soumission) du présent DAO. </w:t>
      </w:r>
    </w:p>
    <w:p w14:paraId="24D5747A" w14:textId="77777777" w:rsidR="0025565E" w:rsidRDefault="00F21464">
      <w:pPr>
        <w:numPr>
          <w:ilvl w:val="0"/>
          <w:numId w:val="2"/>
        </w:numPr>
        <w:spacing w:before="240" w:after="120"/>
        <w:rPr>
          <w:sz w:val="21"/>
          <w:szCs w:val="21"/>
        </w:rPr>
      </w:pPr>
      <w:r>
        <w:rPr>
          <w:sz w:val="21"/>
          <w:szCs w:val="21"/>
        </w:rPr>
        <w:t xml:space="preserve">Veuillez noter que le Règlement de Passation des Marchés exige que l’Emprunteur divulgue les informations sur les </w:t>
      </w:r>
      <w:hyperlink r:id="rId14">
        <w:r>
          <w:rPr>
            <w:sz w:val="21"/>
            <w:szCs w:val="21"/>
          </w:rPr>
          <w:t>propriétaires effectifs</w:t>
        </w:r>
      </w:hyperlink>
      <w:r>
        <w:rPr>
          <w:sz w:val="21"/>
          <w:szCs w:val="21"/>
        </w:rPr>
        <w:t xml:space="preserve"> du Soumissionnaire attributaire, dans le cadre de l’avis de Notification d’Attribution de Marché, en renseignant le Formulaire de divulgation </w:t>
      </w:r>
      <w:hyperlink r:id="rId15">
        <w:r>
          <w:rPr>
            <w:sz w:val="21"/>
            <w:szCs w:val="21"/>
          </w:rPr>
          <w:t>des bénéficiaires effectifs</w:t>
        </w:r>
      </w:hyperlink>
      <w:r>
        <w:rPr>
          <w:sz w:val="21"/>
          <w:szCs w:val="21"/>
        </w:rPr>
        <w:t xml:space="preserve"> inclus dans le dossier d’appel d’offres.</w:t>
      </w:r>
    </w:p>
    <w:p w14:paraId="2BE22DE2" w14:textId="77777777" w:rsidR="0025565E" w:rsidRDefault="00F21464">
      <w:pPr>
        <w:ind w:left="360" w:hanging="360"/>
        <w:rPr>
          <w:sz w:val="21"/>
          <w:szCs w:val="21"/>
        </w:rPr>
      </w:pPr>
      <w:r>
        <w:rPr>
          <w:sz w:val="21"/>
          <w:szCs w:val="21"/>
        </w:rPr>
        <w:t>Le DAO comprend les sections suivantes :</w:t>
      </w:r>
    </w:p>
    <w:p w14:paraId="1F070E78" w14:textId="77777777" w:rsidR="0025565E" w:rsidRDefault="00F21464">
      <w:pPr>
        <w:spacing w:after="0"/>
        <w:ind w:left="0"/>
        <w:rPr>
          <w:sz w:val="21"/>
          <w:szCs w:val="21"/>
        </w:rPr>
      </w:pPr>
      <w:r>
        <w:rPr>
          <w:sz w:val="21"/>
          <w:szCs w:val="21"/>
        </w:rPr>
        <w:t>Section I.</w:t>
      </w:r>
      <w:r>
        <w:rPr>
          <w:sz w:val="21"/>
          <w:szCs w:val="21"/>
        </w:rPr>
        <w:tab/>
        <w:t xml:space="preserve">L’Avis d’Appel d’offres </w:t>
      </w:r>
    </w:p>
    <w:p w14:paraId="6CC2E37D" w14:textId="77777777" w:rsidR="0025565E" w:rsidRDefault="00F21464">
      <w:pPr>
        <w:spacing w:after="0"/>
        <w:ind w:left="0"/>
        <w:rPr>
          <w:sz w:val="21"/>
          <w:szCs w:val="21"/>
        </w:rPr>
      </w:pPr>
      <w:r>
        <w:rPr>
          <w:sz w:val="21"/>
          <w:szCs w:val="21"/>
        </w:rPr>
        <w:t>Section II.</w:t>
      </w:r>
      <w:r>
        <w:rPr>
          <w:sz w:val="21"/>
          <w:szCs w:val="21"/>
        </w:rPr>
        <w:tab/>
        <w:t>Instructions aux soumissionnaires et liste des clauses</w:t>
      </w:r>
    </w:p>
    <w:p w14:paraId="0B9E20B5" w14:textId="77777777" w:rsidR="0025565E" w:rsidRDefault="00F21464">
      <w:pPr>
        <w:spacing w:after="0"/>
        <w:ind w:left="0"/>
        <w:rPr>
          <w:sz w:val="21"/>
          <w:szCs w:val="21"/>
        </w:rPr>
      </w:pPr>
      <w:r>
        <w:rPr>
          <w:sz w:val="21"/>
          <w:szCs w:val="21"/>
        </w:rPr>
        <w:t>Section III.</w:t>
      </w:r>
      <w:r>
        <w:rPr>
          <w:sz w:val="21"/>
          <w:szCs w:val="21"/>
        </w:rPr>
        <w:tab/>
        <w:t>Données de l’appel d’offres (DAO)</w:t>
      </w:r>
    </w:p>
    <w:p w14:paraId="4C59819E" w14:textId="77777777" w:rsidR="0025565E" w:rsidRDefault="00F21464">
      <w:pPr>
        <w:spacing w:after="0"/>
        <w:ind w:left="0"/>
        <w:rPr>
          <w:sz w:val="21"/>
          <w:szCs w:val="21"/>
        </w:rPr>
      </w:pPr>
      <w:r>
        <w:rPr>
          <w:sz w:val="21"/>
          <w:szCs w:val="21"/>
        </w:rPr>
        <w:t>Section IV.</w:t>
      </w:r>
      <w:r>
        <w:rPr>
          <w:sz w:val="21"/>
          <w:szCs w:val="21"/>
        </w:rPr>
        <w:tab/>
        <w:t>Formulaires de soumission du contractant</w:t>
      </w:r>
    </w:p>
    <w:p w14:paraId="20CE5747" w14:textId="77777777" w:rsidR="0025565E" w:rsidRDefault="00F21464">
      <w:pPr>
        <w:spacing w:after="0"/>
        <w:ind w:left="0"/>
        <w:rPr>
          <w:sz w:val="21"/>
          <w:szCs w:val="21"/>
        </w:rPr>
      </w:pPr>
      <w:r>
        <w:rPr>
          <w:sz w:val="21"/>
          <w:szCs w:val="21"/>
        </w:rPr>
        <w:t>Section V.</w:t>
      </w:r>
      <w:r>
        <w:rPr>
          <w:sz w:val="21"/>
          <w:szCs w:val="21"/>
        </w:rPr>
        <w:tab/>
        <w:t>Conditions générales du contrat</w:t>
      </w:r>
    </w:p>
    <w:p w14:paraId="26F70035" w14:textId="77777777" w:rsidR="0025565E" w:rsidRDefault="00F21464">
      <w:pPr>
        <w:spacing w:after="0"/>
        <w:ind w:left="0"/>
        <w:rPr>
          <w:sz w:val="21"/>
          <w:szCs w:val="21"/>
        </w:rPr>
      </w:pPr>
      <w:r>
        <w:rPr>
          <w:sz w:val="21"/>
          <w:szCs w:val="21"/>
        </w:rPr>
        <w:t>Section VI.</w:t>
      </w:r>
      <w:r>
        <w:rPr>
          <w:sz w:val="21"/>
          <w:szCs w:val="21"/>
        </w:rPr>
        <w:tab/>
        <w:t>Conditions particulières du contrat</w:t>
      </w:r>
    </w:p>
    <w:p w14:paraId="6CCFBAAE" w14:textId="77777777" w:rsidR="0025565E" w:rsidRDefault="00F21464">
      <w:pPr>
        <w:spacing w:after="0"/>
        <w:ind w:left="0"/>
        <w:rPr>
          <w:sz w:val="21"/>
          <w:szCs w:val="21"/>
        </w:rPr>
      </w:pPr>
      <w:r>
        <w:rPr>
          <w:sz w:val="21"/>
          <w:szCs w:val="21"/>
        </w:rPr>
        <w:t>Section VII.</w:t>
      </w:r>
      <w:r>
        <w:rPr>
          <w:sz w:val="21"/>
          <w:szCs w:val="21"/>
        </w:rPr>
        <w:tab/>
        <w:t>Spécifications et conditions de bonne exécution</w:t>
      </w:r>
    </w:p>
    <w:p w14:paraId="7839A5B6" w14:textId="77777777" w:rsidR="0025565E" w:rsidRDefault="00F21464">
      <w:pPr>
        <w:spacing w:after="0"/>
        <w:ind w:left="0"/>
        <w:rPr>
          <w:sz w:val="21"/>
          <w:szCs w:val="21"/>
        </w:rPr>
      </w:pPr>
      <w:r>
        <w:rPr>
          <w:sz w:val="21"/>
          <w:szCs w:val="21"/>
        </w:rPr>
        <w:t>Section VIII.</w:t>
      </w:r>
      <w:r>
        <w:rPr>
          <w:sz w:val="21"/>
          <w:szCs w:val="21"/>
        </w:rPr>
        <w:tab/>
        <w:t>Plans</w:t>
      </w:r>
    </w:p>
    <w:p w14:paraId="569724BC" w14:textId="77777777" w:rsidR="0025565E" w:rsidRDefault="00F21464">
      <w:pPr>
        <w:spacing w:after="0"/>
        <w:ind w:left="0"/>
        <w:rPr>
          <w:sz w:val="21"/>
          <w:szCs w:val="21"/>
        </w:rPr>
      </w:pPr>
      <w:r>
        <w:rPr>
          <w:sz w:val="21"/>
          <w:szCs w:val="21"/>
        </w:rPr>
        <w:t>Section IX.</w:t>
      </w:r>
      <w:r>
        <w:rPr>
          <w:sz w:val="21"/>
          <w:szCs w:val="21"/>
        </w:rPr>
        <w:tab/>
        <w:t>Cadre de</w:t>
      </w:r>
      <w:r>
        <w:rPr>
          <w:color w:val="FF0000"/>
          <w:sz w:val="21"/>
          <w:szCs w:val="21"/>
        </w:rPr>
        <w:t xml:space="preserve"> </w:t>
      </w:r>
      <w:r>
        <w:rPr>
          <w:sz w:val="21"/>
          <w:szCs w:val="21"/>
        </w:rPr>
        <w:t>Devis estimatif et Sous détails de prix unitaires</w:t>
      </w:r>
    </w:p>
    <w:p w14:paraId="7F69369B" w14:textId="77777777" w:rsidR="0025565E" w:rsidRDefault="00F21464">
      <w:pPr>
        <w:spacing w:after="0"/>
        <w:ind w:left="1418" w:hanging="1418"/>
        <w:rPr>
          <w:sz w:val="21"/>
          <w:szCs w:val="21"/>
        </w:rPr>
      </w:pPr>
      <w:r>
        <w:rPr>
          <w:sz w:val="21"/>
          <w:szCs w:val="21"/>
        </w:rPr>
        <w:t>Section X.</w:t>
      </w:r>
      <w:r>
        <w:rPr>
          <w:sz w:val="21"/>
          <w:szCs w:val="21"/>
        </w:rPr>
        <w:tab/>
        <w:t>Formulaires de garantie, (i) Garantie de l’offre (garantie bancaire), (ii) Garantie de bonne exécution (inconditionnelle) et (iii) Garantie bancaire d’avance, (iv) Modèle Procès-verbal visite.</w:t>
      </w:r>
    </w:p>
    <w:p w14:paraId="0260D13F" w14:textId="77777777" w:rsidR="0025565E" w:rsidRDefault="0025565E">
      <w:pPr>
        <w:spacing w:after="0"/>
        <w:ind w:left="1418" w:hanging="1418"/>
        <w:rPr>
          <w:sz w:val="21"/>
          <w:szCs w:val="21"/>
        </w:rPr>
      </w:pPr>
    </w:p>
    <w:p w14:paraId="574817F4" w14:textId="77777777" w:rsidR="0025565E" w:rsidRDefault="00F21464">
      <w:pPr>
        <w:spacing w:after="0"/>
        <w:ind w:left="0"/>
        <w:jc w:val="left"/>
        <w:rPr>
          <w:rFonts w:ascii="Verdana" w:eastAsia="Verdana" w:hAnsi="Verdana" w:cs="Verdana"/>
          <w:color w:val="26282A"/>
          <w:sz w:val="21"/>
          <w:szCs w:val="21"/>
        </w:rPr>
      </w:pPr>
      <w:r>
        <w:rPr>
          <w:b/>
          <w:sz w:val="21"/>
          <w:szCs w:val="21"/>
        </w:rPr>
        <w:t>Les documents sont disponibles sur le lien suivant :</w:t>
      </w:r>
      <w:r>
        <w:rPr>
          <w:rFonts w:ascii="Verdana" w:eastAsia="Verdana" w:hAnsi="Verdana" w:cs="Verdana"/>
          <w:color w:val="26282A"/>
          <w:sz w:val="21"/>
          <w:szCs w:val="21"/>
        </w:rPr>
        <w:t xml:space="preserve"> </w:t>
      </w:r>
    </w:p>
    <w:p w14:paraId="03CBE315" w14:textId="77777777" w:rsidR="0025565E" w:rsidRDefault="0025565E">
      <w:pPr>
        <w:spacing w:after="0"/>
        <w:ind w:left="0"/>
        <w:rPr>
          <w:sz w:val="21"/>
          <w:szCs w:val="21"/>
        </w:rPr>
      </w:pPr>
    </w:p>
    <w:p w14:paraId="3FD35546" w14:textId="77777777" w:rsidR="0025565E" w:rsidRDefault="00F21464">
      <w:pPr>
        <w:spacing w:after="120"/>
        <w:ind w:firstLine="576"/>
        <w:rPr>
          <w:sz w:val="21"/>
          <w:szCs w:val="21"/>
        </w:rPr>
      </w:pPr>
      <w:r>
        <w:rPr>
          <w:sz w:val="21"/>
          <w:szCs w:val="21"/>
        </w:rPr>
        <w:t>Dossier technique Nippes Terrain Plaisance :</w:t>
      </w:r>
    </w:p>
    <w:p w14:paraId="297B448F" w14:textId="77777777" w:rsidR="0025565E" w:rsidRDefault="00000000">
      <w:pPr>
        <w:spacing w:after="0"/>
        <w:ind w:left="0"/>
        <w:rPr>
          <w:sz w:val="21"/>
          <w:szCs w:val="21"/>
        </w:rPr>
      </w:pPr>
      <w:hyperlink r:id="rId16">
        <w:r w:rsidR="00F21464">
          <w:rPr>
            <w:color w:val="1155CC"/>
            <w:sz w:val="21"/>
            <w:szCs w:val="21"/>
            <w:u w:val="single"/>
          </w:rPr>
          <w:t>https://drive.google.com/drive/folders/1dqvmMTNYeDrNrbc5IvMyUFkuwvK1-PoS?usp=drive_link</w:t>
        </w:r>
      </w:hyperlink>
    </w:p>
    <w:p w14:paraId="7901EB87" w14:textId="77777777" w:rsidR="0025565E" w:rsidRDefault="0025565E">
      <w:pPr>
        <w:spacing w:after="0"/>
        <w:ind w:left="0"/>
        <w:rPr>
          <w:sz w:val="21"/>
          <w:szCs w:val="21"/>
        </w:rPr>
      </w:pPr>
    </w:p>
    <w:p w14:paraId="59B5821E" w14:textId="77777777" w:rsidR="0025565E" w:rsidRDefault="00F21464">
      <w:pPr>
        <w:spacing w:after="0"/>
        <w:ind w:left="0"/>
        <w:rPr>
          <w:sz w:val="21"/>
          <w:szCs w:val="21"/>
        </w:rPr>
      </w:pPr>
      <w:r>
        <w:rPr>
          <w:sz w:val="21"/>
          <w:szCs w:val="21"/>
        </w:rPr>
        <w:t>Dossier Technique MUSSOTTE :</w:t>
      </w:r>
    </w:p>
    <w:p w14:paraId="234D9E47" w14:textId="77777777" w:rsidR="0025565E" w:rsidRDefault="00000000">
      <w:pPr>
        <w:spacing w:after="0"/>
        <w:ind w:left="0"/>
        <w:rPr>
          <w:sz w:val="21"/>
          <w:szCs w:val="21"/>
        </w:rPr>
      </w:pPr>
      <w:hyperlink r:id="rId17">
        <w:r w:rsidR="00F21464">
          <w:rPr>
            <w:color w:val="1155CC"/>
            <w:sz w:val="21"/>
            <w:szCs w:val="21"/>
            <w:u w:val="single"/>
          </w:rPr>
          <w:t>https://drive.google.com/drive/folders/1nMVX2ZPiG4r4uG7pKs85_ipenX3brYcv?usp=sharing</w:t>
        </w:r>
      </w:hyperlink>
    </w:p>
    <w:p w14:paraId="73BDDA6A" w14:textId="77777777" w:rsidR="0025565E" w:rsidRDefault="0025565E">
      <w:pPr>
        <w:spacing w:after="0"/>
        <w:ind w:left="0"/>
        <w:rPr>
          <w:sz w:val="21"/>
          <w:szCs w:val="21"/>
        </w:rPr>
      </w:pPr>
    </w:p>
    <w:p w14:paraId="5570FF6E" w14:textId="77777777" w:rsidR="0025565E" w:rsidRDefault="00F21464">
      <w:pPr>
        <w:spacing w:after="0" w:line="360" w:lineRule="auto"/>
        <w:ind w:left="0"/>
        <w:rPr>
          <w:sz w:val="21"/>
          <w:szCs w:val="21"/>
        </w:rPr>
      </w:pPr>
      <w:r>
        <w:rPr>
          <w:sz w:val="21"/>
          <w:szCs w:val="21"/>
        </w:rPr>
        <w:t>Dossier technique Nippes Saint Ange Anse à Veau</w:t>
      </w:r>
    </w:p>
    <w:p w14:paraId="6B040097" w14:textId="77777777" w:rsidR="0025565E" w:rsidRDefault="00000000">
      <w:pPr>
        <w:spacing w:after="0"/>
        <w:ind w:left="0"/>
        <w:rPr>
          <w:sz w:val="21"/>
          <w:szCs w:val="21"/>
        </w:rPr>
      </w:pPr>
      <w:hyperlink r:id="rId18">
        <w:r w:rsidR="00F21464">
          <w:rPr>
            <w:color w:val="1155CC"/>
            <w:sz w:val="21"/>
            <w:szCs w:val="21"/>
            <w:u w:val="single"/>
          </w:rPr>
          <w:t>https://drive.google.com/drive/folders/1sSFBcMWKWOabS6Ca7ittjqQNmsI2rX0G?usp=sharing</w:t>
        </w:r>
      </w:hyperlink>
    </w:p>
    <w:p w14:paraId="139794B3" w14:textId="77777777" w:rsidR="0025565E" w:rsidRDefault="0025565E">
      <w:pPr>
        <w:spacing w:after="0"/>
        <w:ind w:left="0"/>
        <w:rPr>
          <w:sz w:val="21"/>
          <w:szCs w:val="21"/>
        </w:rPr>
      </w:pPr>
    </w:p>
    <w:p w14:paraId="3930439C" w14:textId="77777777" w:rsidR="0025565E" w:rsidRDefault="00F21464">
      <w:pPr>
        <w:spacing w:after="120"/>
        <w:ind w:left="0"/>
        <w:rPr>
          <w:sz w:val="21"/>
          <w:szCs w:val="21"/>
        </w:rPr>
      </w:pPr>
      <w:r>
        <w:rPr>
          <w:sz w:val="21"/>
          <w:szCs w:val="21"/>
        </w:rPr>
        <w:lastRenderedPageBreak/>
        <w:t xml:space="preserve">Dossier Technique Nippes Joly </w:t>
      </w:r>
    </w:p>
    <w:p w14:paraId="0B9E9470" w14:textId="77777777" w:rsidR="0025565E" w:rsidRDefault="00000000">
      <w:pPr>
        <w:ind w:left="0"/>
        <w:rPr>
          <w:color w:val="0000FF"/>
          <w:sz w:val="21"/>
          <w:szCs w:val="21"/>
          <w:u w:val="single"/>
        </w:rPr>
      </w:pPr>
      <w:hyperlink r:id="rId19">
        <w:r w:rsidR="00F21464">
          <w:rPr>
            <w:color w:val="0000FF"/>
            <w:sz w:val="21"/>
            <w:szCs w:val="21"/>
            <w:u w:val="single"/>
          </w:rPr>
          <w:t>https://drive.google.com/drive/folders/14507Uhuv-G0DUnk5uE6rK5d2udvDxJlF?usp=sharing</w:t>
        </w:r>
      </w:hyperlink>
    </w:p>
    <w:p w14:paraId="5DB13B37" w14:textId="77777777" w:rsidR="0025565E" w:rsidRDefault="00F21464">
      <w:pPr>
        <w:numPr>
          <w:ilvl w:val="1"/>
          <w:numId w:val="1"/>
        </w:numPr>
        <w:spacing w:after="0"/>
        <w:rPr>
          <w:sz w:val="21"/>
          <w:szCs w:val="21"/>
        </w:rPr>
      </w:pPr>
      <w:r>
        <w:rPr>
          <w:sz w:val="21"/>
          <w:szCs w:val="21"/>
        </w:rPr>
        <w:t>Cahier des clauses techniques particulières (CCTP) ;</w:t>
      </w:r>
    </w:p>
    <w:p w14:paraId="7339A576" w14:textId="77777777" w:rsidR="0025565E" w:rsidRDefault="00F21464">
      <w:pPr>
        <w:numPr>
          <w:ilvl w:val="1"/>
          <w:numId w:val="1"/>
        </w:numPr>
        <w:spacing w:after="0"/>
        <w:rPr>
          <w:sz w:val="21"/>
          <w:szCs w:val="21"/>
        </w:rPr>
      </w:pPr>
      <w:r>
        <w:rPr>
          <w:sz w:val="21"/>
          <w:szCs w:val="21"/>
        </w:rPr>
        <w:t>Plans d’implantation ;</w:t>
      </w:r>
    </w:p>
    <w:p w14:paraId="058DA312" w14:textId="77777777" w:rsidR="0025565E" w:rsidRDefault="00F21464">
      <w:pPr>
        <w:numPr>
          <w:ilvl w:val="1"/>
          <w:numId w:val="1"/>
        </w:numPr>
        <w:spacing w:after="0"/>
        <w:rPr>
          <w:sz w:val="21"/>
          <w:szCs w:val="21"/>
        </w:rPr>
      </w:pPr>
      <w:r>
        <w:rPr>
          <w:sz w:val="21"/>
          <w:szCs w:val="21"/>
        </w:rPr>
        <w:t>Dessins ;</w:t>
      </w:r>
    </w:p>
    <w:p w14:paraId="25B59F1D" w14:textId="77777777" w:rsidR="0025565E" w:rsidRDefault="00F21464">
      <w:pPr>
        <w:numPr>
          <w:ilvl w:val="1"/>
          <w:numId w:val="1"/>
        </w:numPr>
        <w:spacing w:after="0"/>
        <w:rPr>
          <w:sz w:val="21"/>
          <w:szCs w:val="21"/>
        </w:rPr>
      </w:pPr>
      <w:r>
        <w:rPr>
          <w:sz w:val="21"/>
          <w:szCs w:val="21"/>
        </w:rPr>
        <w:t>Spécifications techniques ;</w:t>
      </w:r>
    </w:p>
    <w:p w14:paraId="43A5F081" w14:textId="77777777" w:rsidR="0025565E" w:rsidRDefault="00F21464">
      <w:pPr>
        <w:numPr>
          <w:ilvl w:val="1"/>
          <w:numId w:val="1"/>
        </w:numPr>
        <w:spacing w:after="0"/>
        <w:rPr>
          <w:sz w:val="21"/>
          <w:szCs w:val="21"/>
        </w:rPr>
      </w:pPr>
      <w:r>
        <w:rPr>
          <w:sz w:val="21"/>
          <w:szCs w:val="21"/>
        </w:rPr>
        <w:t>Cadre de Devis ;</w:t>
      </w:r>
    </w:p>
    <w:p w14:paraId="50085DF4" w14:textId="77777777" w:rsidR="0025565E" w:rsidRDefault="0025565E">
      <w:pPr>
        <w:spacing w:after="0"/>
        <w:ind w:left="0"/>
        <w:rPr>
          <w:sz w:val="21"/>
          <w:szCs w:val="21"/>
          <w:highlight w:val="yellow"/>
        </w:rPr>
      </w:pPr>
    </w:p>
    <w:p w14:paraId="6C09325A" w14:textId="77777777" w:rsidR="0025565E" w:rsidRDefault="00F21464">
      <w:pPr>
        <w:spacing w:after="0"/>
        <w:ind w:left="0"/>
        <w:rPr>
          <w:b/>
          <w:sz w:val="21"/>
          <w:szCs w:val="21"/>
        </w:rPr>
      </w:pPr>
      <w:r>
        <w:rPr>
          <w:sz w:val="21"/>
          <w:szCs w:val="21"/>
        </w:rPr>
        <w:t xml:space="preserve">Une visite du site est programmée pour le 14 décembre 2023 pour les lots 2-3-4 et le 15 décembre 2023 pour le lot 1 à 9h, avec tous les soumissionnaires afin de connaître les sites d'intervention. La visite des sites est obligatoire et l’offre du soumissionnaire doit inclure le procès-verbal de visite du site sous peine de rejet. VIVARIO ne partagera le PV de la visite des sites qu’aux firmes qui auront participé à la visite. Les lieux de rencontre sont </w:t>
      </w:r>
      <w:r>
        <w:rPr>
          <w:b/>
          <w:sz w:val="21"/>
          <w:szCs w:val="21"/>
        </w:rPr>
        <w:t xml:space="preserve">Bureau de la protection civile de Miragoane (COUD Miragoane ). </w:t>
      </w:r>
    </w:p>
    <w:p w14:paraId="37DDA94C" w14:textId="77777777" w:rsidR="0025565E" w:rsidRDefault="0025565E">
      <w:pPr>
        <w:spacing w:after="0"/>
        <w:ind w:left="0"/>
        <w:rPr>
          <w:b/>
          <w:sz w:val="21"/>
          <w:szCs w:val="21"/>
        </w:rPr>
      </w:pPr>
    </w:p>
    <w:p w14:paraId="4DB4932A" w14:textId="77777777" w:rsidR="0025565E" w:rsidRDefault="00F21464">
      <w:pPr>
        <w:spacing w:after="0"/>
        <w:ind w:left="0"/>
        <w:rPr>
          <w:sz w:val="21"/>
          <w:szCs w:val="21"/>
        </w:rPr>
      </w:pPr>
      <w:r>
        <w:rPr>
          <w:sz w:val="21"/>
          <w:szCs w:val="21"/>
        </w:rPr>
        <w:t xml:space="preserve">VIVARIO vous prie de bien vouloir confirmer par courriel à l’adresse suivante : </w:t>
      </w:r>
      <w:hyperlink r:id="rId20">
        <w:r>
          <w:rPr>
            <w:color w:val="1155CC"/>
            <w:sz w:val="22"/>
            <w:szCs w:val="22"/>
            <w:u w:val="single"/>
          </w:rPr>
          <w:t>passationdemarches@vivariohaiti.org</w:t>
        </w:r>
      </w:hyperlink>
      <w:r>
        <w:rPr>
          <w:color w:val="1155CC"/>
          <w:sz w:val="22"/>
          <w:szCs w:val="22"/>
          <w:highlight w:val="white"/>
        </w:rPr>
        <w:t xml:space="preserve"> </w:t>
      </w:r>
      <w:r>
        <w:rPr>
          <w:sz w:val="21"/>
          <w:szCs w:val="21"/>
        </w:rPr>
        <w:t xml:space="preserve">votre intérêt pour le marché et si vous décidez ou pas de participer à la visite des sites au plus tard trois (3) jours avant la date de la visite. </w:t>
      </w:r>
    </w:p>
    <w:p w14:paraId="237E81D5" w14:textId="77777777" w:rsidR="0025565E" w:rsidRDefault="0025565E">
      <w:pPr>
        <w:spacing w:after="0"/>
        <w:ind w:left="0"/>
        <w:rPr>
          <w:sz w:val="21"/>
          <w:szCs w:val="21"/>
        </w:rPr>
      </w:pPr>
    </w:p>
    <w:p w14:paraId="47479E79" w14:textId="77777777" w:rsidR="0025565E" w:rsidRDefault="00F21464">
      <w:pPr>
        <w:spacing w:after="0"/>
        <w:ind w:left="0"/>
      </w:pPr>
      <w:r>
        <w:rPr>
          <w:sz w:val="21"/>
          <w:szCs w:val="21"/>
        </w:rPr>
        <w:t>Si vous décidez de soumissionner en groupement, afin d’augmenter votre expérience, vous devez solliciter l’autorisation de vous associer avec une ou d’autres entreprises, en prenant soin de désigner le chef de file du groupement.</w:t>
      </w:r>
    </w:p>
    <w:p w14:paraId="2197567C" w14:textId="77777777" w:rsidR="0025565E" w:rsidRDefault="0025565E">
      <w:pPr>
        <w:spacing w:after="0"/>
        <w:ind w:left="0"/>
        <w:jc w:val="left"/>
      </w:pPr>
    </w:p>
    <w:p w14:paraId="45DD944F" w14:textId="77777777" w:rsidR="0025565E" w:rsidRDefault="0025565E">
      <w:pPr>
        <w:spacing w:after="0"/>
        <w:ind w:left="0"/>
        <w:jc w:val="left"/>
      </w:pPr>
    </w:p>
    <w:p w14:paraId="608F7C8E" w14:textId="77777777" w:rsidR="0025565E" w:rsidRDefault="0025565E"/>
    <w:sectPr w:rsidR="0025565E">
      <w:headerReference w:type="default" r:id="rId21"/>
      <w:headerReference w:type="first" r:id="rId22"/>
      <w:pgSz w:w="12240" w:h="15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7FFF8" w14:textId="77777777" w:rsidR="00B83E99" w:rsidRDefault="00B83E99">
      <w:pPr>
        <w:spacing w:after="0"/>
      </w:pPr>
      <w:r>
        <w:separator/>
      </w:r>
    </w:p>
  </w:endnote>
  <w:endnote w:type="continuationSeparator" w:id="0">
    <w:p w14:paraId="2020E815" w14:textId="77777777" w:rsidR="00B83E99" w:rsidRDefault="00B83E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2616E" w14:textId="77777777" w:rsidR="00B83E99" w:rsidRDefault="00B83E99">
      <w:pPr>
        <w:spacing w:after="0"/>
      </w:pPr>
      <w:r>
        <w:separator/>
      </w:r>
    </w:p>
  </w:footnote>
  <w:footnote w:type="continuationSeparator" w:id="0">
    <w:p w14:paraId="01327F66" w14:textId="77777777" w:rsidR="00B83E99" w:rsidRDefault="00B83E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6229" w14:textId="74C7EFC8" w:rsidR="0025565E" w:rsidRDefault="00F21464">
    <w:pPr>
      <w:pBdr>
        <w:top w:val="nil"/>
        <w:left w:val="nil"/>
        <w:bottom w:val="single" w:sz="4" w:space="1" w:color="000000"/>
        <w:right w:val="nil"/>
        <w:between w:val="nil"/>
      </w:pBdr>
      <w:tabs>
        <w:tab w:val="right" w:pos="9270"/>
      </w:tabs>
      <w:ind w:right="69" w:hanging="576"/>
      <w:jc w:val="right"/>
      <w:rPr>
        <w:color w:val="000000"/>
        <w:sz w:val="20"/>
        <w:szCs w:val="20"/>
      </w:rPr>
    </w:pP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3</w:t>
    </w:r>
    <w:r>
      <w:rPr>
        <w:color w:val="00000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CA25" w14:textId="77777777" w:rsidR="0025565E" w:rsidRDefault="00F21464">
    <w:pPr>
      <w:pBdr>
        <w:top w:val="nil"/>
        <w:left w:val="nil"/>
        <w:bottom w:val="single" w:sz="4" w:space="1" w:color="000000"/>
        <w:right w:val="nil"/>
        <w:between w:val="nil"/>
      </w:pBdr>
      <w:ind w:hanging="576"/>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r>
      <w:rPr>
        <w:noProof/>
      </w:rPr>
      <w:drawing>
        <wp:anchor distT="0" distB="0" distL="114300" distR="114300" simplePos="0" relativeHeight="251658240" behindDoc="0" locked="0" layoutInCell="1" hidden="0" allowOverlap="1" wp14:anchorId="71D4669E" wp14:editId="7C71A5A5">
          <wp:simplePos x="0" y="0"/>
          <wp:positionH relativeFrom="column">
            <wp:posOffset>9321</wp:posOffset>
          </wp:positionH>
          <wp:positionV relativeFrom="paragraph">
            <wp:posOffset>247408</wp:posOffset>
          </wp:positionV>
          <wp:extent cx="473157" cy="428625"/>
          <wp:effectExtent l="0" t="0" r="0" b="0"/>
          <wp:wrapNone/>
          <wp:docPr id="1" name="image3.jpg" descr="LE MINISTÈRE DE L'INTÉRIEUR ET DES COLLECTIVITÉS TERRITORIALES RÉVOQUE  PROVISOIREMENT LES IDENTIFIANTS DU PERSONNEL ET DES AGENTS PARTICULIERS DU  « SIN » SUITE AU CONSTAT DE CARTES FALCIFIÉES EN CIRCULATION | Ministère"/>
          <wp:cNvGraphicFramePr/>
          <a:graphic xmlns:a="http://schemas.openxmlformats.org/drawingml/2006/main">
            <a:graphicData uri="http://schemas.openxmlformats.org/drawingml/2006/picture">
              <pic:pic xmlns:pic="http://schemas.openxmlformats.org/drawingml/2006/picture">
                <pic:nvPicPr>
                  <pic:cNvPr id="0" name="image3.jpg" descr="LE MINISTÈRE DE L'INTÉRIEUR ET DES COLLECTIVITÉS TERRITORIALES RÉVOQUE  PROVISOIREMENT LES IDENTIFIANTS DU PERSONNEL ET DES AGENTS PARTICULIERS DU  « SIN » SUITE AU CONSTAT DE CARTES FALCIFIÉES EN CIRCULATION | Ministère"/>
                  <pic:cNvPicPr preferRelativeResize="0"/>
                </pic:nvPicPr>
                <pic:blipFill>
                  <a:blip r:embed="rId1"/>
                  <a:srcRect/>
                  <a:stretch>
                    <a:fillRect/>
                  </a:stretch>
                </pic:blipFill>
                <pic:spPr>
                  <a:xfrm>
                    <a:off x="0" y="0"/>
                    <a:ext cx="473157" cy="4286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EEC9AA9" wp14:editId="45F618A4">
          <wp:simplePos x="0" y="0"/>
          <wp:positionH relativeFrom="column">
            <wp:posOffset>1264589</wp:posOffset>
          </wp:positionH>
          <wp:positionV relativeFrom="paragraph">
            <wp:posOffset>229198</wp:posOffset>
          </wp:positionV>
          <wp:extent cx="596900" cy="533400"/>
          <wp:effectExtent l="0" t="0" r="0" b="0"/>
          <wp:wrapNone/>
          <wp:docPr id="4" name="image1.png" descr="C:\Users\arsel\Documents\Consultations Arsel\Consultations from April 2020\PADF\Nouveau PGRAC\Implementation\Communication\Logos\Logo-Couleur_DGPC_Transition-01.png"/>
          <wp:cNvGraphicFramePr/>
          <a:graphic xmlns:a="http://schemas.openxmlformats.org/drawingml/2006/main">
            <a:graphicData uri="http://schemas.openxmlformats.org/drawingml/2006/picture">
              <pic:pic xmlns:pic="http://schemas.openxmlformats.org/drawingml/2006/picture">
                <pic:nvPicPr>
                  <pic:cNvPr id="0" name="image1.png" descr="C:\Users\arsel\Documents\Consultations Arsel\Consultations from April 2020\PADF\Nouveau PGRAC\Implementation\Communication\Logos\Logo-Couleur_DGPC_Transition-01.png"/>
                  <pic:cNvPicPr preferRelativeResize="0"/>
                </pic:nvPicPr>
                <pic:blipFill>
                  <a:blip r:embed="rId2"/>
                  <a:srcRect/>
                  <a:stretch>
                    <a:fillRect/>
                  </a:stretch>
                </pic:blipFill>
                <pic:spPr>
                  <a:xfrm>
                    <a:off x="0" y="0"/>
                    <a:ext cx="596900" cy="5334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D1C1DDA" wp14:editId="0AB1F89C">
          <wp:simplePos x="0" y="0"/>
          <wp:positionH relativeFrom="column">
            <wp:posOffset>5182870</wp:posOffset>
          </wp:positionH>
          <wp:positionV relativeFrom="paragraph">
            <wp:posOffset>221615</wp:posOffset>
          </wp:positionV>
          <wp:extent cx="781050" cy="43815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781050" cy="4381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097"/>
    <w:multiLevelType w:val="multilevel"/>
    <w:tmpl w:val="67DCB894"/>
    <w:lvl w:ilvl="0">
      <w:start w:val="1"/>
      <w:numFmt w:val="lowerRoman"/>
      <w:lvlText w:val="%1."/>
      <w:lvlJc w:val="right"/>
      <w:pPr>
        <w:ind w:left="1512"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62F598B"/>
    <w:multiLevelType w:val="multilevel"/>
    <w:tmpl w:val="F8160BEA"/>
    <w:lvl w:ilvl="0">
      <w:start w:val="1"/>
      <w:numFmt w:val="decimal"/>
      <w:lvlText w:val="%1."/>
      <w:lvlJc w:val="left"/>
      <w:pPr>
        <w:ind w:left="720" w:hanging="720"/>
      </w:pPr>
      <w:rPr>
        <w:b w:val="0"/>
        <w:i w:val="0"/>
      </w:rPr>
    </w:lvl>
    <w:lvl w:ilvl="1">
      <w:start w:val="1"/>
      <w:numFmt w:val="decimal"/>
      <w:lvlText w:val="%1.%2"/>
      <w:lvlJc w:val="left"/>
      <w:pPr>
        <w:ind w:left="615" w:hanging="61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885289802">
    <w:abstractNumId w:val="0"/>
  </w:num>
  <w:num w:numId="2" w16cid:durableId="217859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65E"/>
    <w:rsid w:val="0025565E"/>
    <w:rsid w:val="00B83E99"/>
    <w:rsid w:val="00B94D2A"/>
    <w:rsid w:val="00F2146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EA36"/>
  <w15:docId w15:val="{7EFED521-C602-4488-A794-64879B90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es-PE" w:bidi="ar-SA"/>
      </w:rPr>
    </w:rPrDefault>
    <w:pPrDefault>
      <w:pPr>
        <w:spacing w:after="200"/>
        <w:ind w:left="57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b/>
      <w:sz w:val="36"/>
      <w:szCs w:val="36"/>
    </w:rPr>
  </w:style>
  <w:style w:type="paragraph" w:styleId="Heading2">
    <w:name w:val="heading 2"/>
    <w:basedOn w:val="Normal"/>
    <w:next w:val="Normal"/>
    <w:uiPriority w:val="9"/>
    <w:semiHidden/>
    <w:unhideWhenUsed/>
    <w:qFormat/>
    <w:pPr>
      <w:jc w:val="center"/>
      <w:outlineLvl w:val="1"/>
    </w:pPr>
    <w:rPr>
      <w:b/>
      <w:sz w:val="28"/>
      <w:szCs w:val="28"/>
    </w:rPr>
  </w:style>
  <w:style w:type="paragraph" w:styleId="Heading3">
    <w:name w:val="heading 3"/>
    <w:basedOn w:val="Normal"/>
    <w:next w:val="Normal"/>
    <w:uiPriority w:val="9"/>
    <w:semiHidden/>
    <w:unhideWhenUsed/>
    <w:qFormat/>
    <w:pPr>
      <w:tabs>
        <w:tab w:val="left" w:pos="864"/>
      </w:tabs>
      <w:ind w:left="864" w:hanging="432"/>
      <w:outlineLvl w:val="2"/>
    </w:pPr>
  </w:style>
  <w:style w:type="paragraph" w:styleId="Heading4">
    <w:name w:val="heading 4"/>
    <w:basedOn w:val="Normal"/>
    <w:next w:val="Normal"/>
    <w:uiPriority w:val="9"/>
    <w:semiHidden/>
    <w:unhideWhenUsed/>
    <w:qFormat/>
    <w:pPr>
      <w:tabs>
        <w:tab w:val="left" w:pos="1512"/>
      </w:tabs>
      <w:ind w:left="1512" w:hanging="648"/>
      <w:outlineLvl w:val="3"/>
    </w:pPr>
  </w:style>
  <w:style w:type="paragraph" w:styleId="Heading5">
    <w:name w:val="heading 5"/>
    <w:basedOn w:val="Normal"/>
    <w:next w:val="Normal"/>
    <w:uiPriority w:val="9"/>
    <w:semiHidden/>
    <w:unhideWhenUsed/>
    <w:qFormat/>
    <w:pPr>
      <w:spacing w:before="240" w:after="60"/>
      <w:jc w:val="center"/>
      <w:outlineLvl w:val="4"/>
    </w:pPr>
    <w:rPr>
      <w:b/>
      <w:sz w:val="28"/>
      <w:szCs w:val="28"/>
    </w:rPr>
  </w:style>
  <w:style w:type="paragraph" w:styleId="Heading6">
    <w:name w:val="heading 6"/>
    <w:basedOn w:val="Normal"/>
    <w:next w:val="Normal"/>
    <w:uiPriority w:val="9"/>
    <w:semiHidden/>
    <w:unhideWhenUsed/>
    <w:qFormat/>
    <w:pPr>
      <w:tabs>
        <w:tab w:val="left" w:pos="1152"/>
      </w:tabs>
      <w:spacing w:before="240" w:after="60"/>
      <w:ind w:left="1152" w:hanging="1152"/>
      <w:outlineLvl w:val="5"/>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48"/>
      <w:szCs w:val="48"/>
    </w:rPr>
  </w:style>
  <w:style w:type="paragraph" w:styleId="Subtitle">
    <w:name w:val="Subtitle"/>
    <w:basedOn w:val="Normal"/>
    <w:next w:val="Normal"/>
    <w:uiPriority w:val="11"/>
    <w:qFormat/>
    <w:pPr>
      <w:jc w:val="center"/>
    </w:pPr>
    <w:rPr>
      <w:b/>
      <w:sz w:val="44"/>
      <w:szCs w:val="44"/>
    </w:rPr>
  </w:style>
  <w:style w:type="paragraph" w:styleId="Header">
    <w:name w:val="header"/>
    <w:basedOn w:val="Normal"/>
    <w:link w:val="HeaderChar"/>
    <w:uiPriority w:val="99"/>
    <w:unhideWhenUsed/>
    <w:rsid w:val="00F21464"/>
    <w:pPr>
      <w:tabs>
        <w:tab w:val="center" w:pos="4513"/>
        <w:tab w:val="right" w:pos="9026"/>
      </w:tabs>
      <w:spacing w:after="0"/>
    </w:pPr>
  </w:style>
  <w:style w:type="character" w:customStyle="1" w:styleId="HeaderChar">
    <w:name w:val="Header Char"/>
    <w:basedOn w:val="DefaultParagraphFont"/>
    <w:link w:val="Header"/>
    <w:uiPriority w:val="99"/>
    <w:rsid w:val="00F21464"/>
  </w:style>
  <w:style w:type="paragraph" w:styleId="Footer">
    <w:name w:val="footer"/>
    <w:basedOn w:val="Normal"/>
    <w:link w:val="FooterChar"/>
    <w:uiPriority w:val="99"/>
    <w:unhideWhenUsed/>
    <w:rsid w:val="00F21464"/>
    <w:pPr>
      <w:tabs>
        <w:tab w:val="center" w:pos="4513"/>
        <w:tab w:val="right" w:pos="9026"/>
      </w:tabs>
      <w:spacing w:after="0"/>
    </w:pPr>
  </w:style>
  <w:style w:type="character" w:customStyle="1" w:styleId="FooterChar">
    <w:name w:val="Footer Char"/>
    <w:basedOn w:val="DefaultParagraphFont"/>
    <w:link w:val="Footer"/>
    <w:uiPriority w:val="99"/>
    <w:rsid w:val="00F2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ivariohaiti.org" TargetMode="External"/><Relationship Id="rId18" Type="http://schemas.openxmlformats.org/officeDocument/2006/relationships/hyperlink" Target="https://drive.google.com/drive/folders/1sSFBcMWKWOabS6Ca7ittjqQNmsI2rX0G?usp=sharing"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info@vivariohaiti.org" TargetMode="External"/><Relationship Id="rId17" Type="http://schemas.openxmlformats.org/officeDocument/2006/relationships/hyperlink" Target="https://drive.google.com/drive/folders/1nMVX2ZPiG4r4uG7pKs85_ipenX3brYcv?usp=sharing" TargetMode="External"/><Relationship Id="rId2" Type="http://schemas.openxmlformats.org/officeDocument/2006/relationships/customXml" Target="../customXml/item2.xml"/><Relationship Id="rId16" Type="http://schemas.openxmlformats.org/officeDocument/2006/relationships/hyperlink" Target="https://drive.google.com/drive/folders/1dqvmMTNYeDrNrbc5IvMyUFkuwvK1-PoS?usp=drive_link" TargetMode="External"/><Relationship Id="rId20" Type="http://schemas.openxmlformats.org/officeDocument/2006/relationships/hyperlink" Target="mailto:info@vivariohait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sationdemarches@vivariohaiti.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ontext.reverso.net/traduction/francais-anglais/des+b%C3%A9n%C3%A9ficiaires+effectifs"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s://drive.google.com/drive/folders/14507Uhuv-G0DUnk5uE6rK5d2udvDxJlF?usp=sharing"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context.reverso.net/traduction/francais-anglais/des+b%C3%A9n%C3%A9ficiaires+effectif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gI+i/hd5v+kLiDgYBkn1NIC4+g==">CgMxLjAyCWguMnM4ZXlvMTIJaC4xN2RwOHZ1OAByITFMWjFwbnBITGUyLURsaDNnYlJ1NjZlV2RkTWZ4THYxNg==</go:docsCustomData>
</go:gDocsCustomXmlDataStorage>
</file>

<file path=customXml/itemProps1.xml><?xml version="1.0" encoding="utf-8"?>
<ds:datastoreItem xmlns:ds="http://schemas.openxmlformats.org/officeDocument/2006/customXml" ds:itemID="{D437154F-883F-4648-9781-2C9E953226E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6089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Gonzalez</dc:creator>
  <cp:lastModifiedBy>Daniela Bercovitch</cp:lastModifiedBy>
  <cp:revision>2</cp:revision>
  <dcterms:created xsi:type="dcterms:W3CDTF">2023-12-07T21:21:00Z</dcterms:created>
  <dcterms:modified xsi:type="dcterms:W3CDTF">2023-12-07T21:21:00Z</dcterms:modified>
</cp:coreProperties>
</file>